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7B" w:rsidRDefault="00A8117B" w:rsidP="005244E7">
      <w:pPr>
        <w:pStyle w:val="Heading1"/>
      </w:pPr>
      <w:bookmarkStart w:id="0" w:name="_GoBack"/>
      <w:bookmarkEnd w:id="0"/>
      <w:r>
        <w:t>Microgeneration Government-Industry Contact Group</w:t>
      </w:r>
    </w:p>
    <w:p w:rsidR="00A8117B" w:rsidRDefault="00960488" w:rsidP="005244E7">
      <w:pPr>
        <w:pStyle w:val="Heading2"/>
      </w:pPr>
      <w:r>
        <w:t xml:space="preserve">Final notes </w:t>
      </w:r>
      <w:r w:rsidR="00A8117B">
        <w:t>from meeting 8 April 2011, 11:00</w:t>
      </w:r>
      <w:r w:rsidR="00B80199" w:rsidRPr="00B80199">
        <w:rPr>
          <w:sz w:val="16"/>
        </w:rPr>
        <w:t> </w:t>
      </w:r>
      <w:r w:rsidR="00B80199">
        <w:t>–</w:t>
      </w:r>
      <w:r w:rsidR="00B80199" w:rsidRPr="00B80199">
        <w:rPr>
          <w:sz w:val="20"/>
        </w:rPr>
        <w:t> </w:t>
      </w:r>
      <w:r w:rsidR="00A8117B">
        <w:t>13:00 at NHBC</w:t>
      </w:r>
    </w:p>
    <w:p w:rsidR="00F102C9" w:rsidRPr="00F102C9" w:rsidRDefault="00F102C9" w:rsidP="00F102C9"/>
    <w:tbl>
      <w:tblPr>
        <w:tblW w:w="7818" w:type="dxa"/>
        <w:jc w:val="center"/>
        <w:tblLook w:val="04A0" w:firstRow="1" w:lastRow="0" w:firstColumn="1" w:lastColumn="0" w:noHBand="0" w:noVBand="1"/>
      </w:tblPr>
      <w:tblGrid>
        <w:gridCol w:w="549"/>
        <w:gridCol w:w="3818"/>
        <w:gridCol w:w="1028"/>
        <w:gridCol w:w="1239"/>
        <w:gridCol w:w="1184"/>
      </w:tblGrid>
      <w:tr w:rsidR="00B80199" w:rsidRPr="0040087C" w:rsidTr="00B80199">
        <w:trPr>
          <w:jc w:val="center"/>
        </w:trPr>
        <w:tc>
          <w:tcPr>
            <w:tcW w:w="6634" w:type="dxa"/>
            <w:gridSpan w:val="4"/>
            <w:tcBorders>
              <w:bottom w:val="single" w:sz="2" w:space="0" w:color="auto"/>
            </w:tcBorders>
            <w:vAlign w:val="center"/>
          </w:tcPr>
          <w:p w:rsidR="00B80199" w:rsidRPr="0040087C" w:rsidRDefault="00B80199" w:rsidP="00B80199">
            <w:pPr>
              <w:rPr>
                <w:rFonts w:cs="Calibri"/>
                <w:b/>
                <w:sz w:val="22"/>
                <w:szCs w:val="22"/>
              </w:rPr>
            </w:pPr>
            <w:r w:rsidRPr="0040087C">
              <w:rPr>
                <w:rFonts w:cs="Calibri"/>
                <w:b/>
                <w:sz w:val="24"/>
                <w:szCs w:val="22"/>
              </w:rPr>
              <w:t>Attending</w:t>
            </w:r>
          </w:p>
        </w:tc>
        <w:tc>
          <w:tcPr>
            <w:tcW w:w="1184" w:type="dxa"/>
            <w:vAlign w:val="center"/>
          </w:tcPr>
          <w:p w:rsidR="00B80199" w:rsidRPr="0040087C" w:rsidRDefault="00B80199" w:rsidP="00BE16E3">
            <w:pPr>
              <w:rPr>
                <w:rFonts w:cs="Calibri"/>
                <w:b/>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BEAMA</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Kelly</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Butler </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2</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CHPA</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Bob</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Flint</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3</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Consumer Focus</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Liz</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Laine</w:t>
            </w:r>
            <w:proofErr w:type="spellEnd"/>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4</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DECC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Paul</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Rochester</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5</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DECC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David </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Wagstaff</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6</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EEPH</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Mark</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Brown</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7</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EEPH</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Mathias</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Hessler</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8</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FETA</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Simon</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Keel</w:t>
            </w:r>
          </w:p>
        </w:tc>
        <w:tc>
          <w:tcPr>
            <w:tcW w:w="1184" w:type="dxa"/>
            <w:tcBorders>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9</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Ground Source Heat Pump Association</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David </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Matthews</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10</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HETAS</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Bruce</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Allen</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11</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Kingspan</w:t>
            </w:r>
            <w:proofErr w:type="spellEnd"/>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Tony</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Staniforth</w:t>
            </w:r>
            <w:proofErr w:type="spellEnd"/>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12</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tcPr>
          <w:p w:rsidR="00060D0E" w:rsidRPr="0040087C" w:rsidRDefault="00060D0E" w:rsidP="00BE16E3">
            <w:pPr>
              <w:rPr>
                <w:rFonts w:cs="Calibri"/>
                <w:sz w:val="22"/>
                <w:szCs w:val="22"/>
              </w:rPr>
            </w:pPr>
            <w:r w:rsidRPr="0040087C">
              <w:rPr>
                <w:rFonts w:cs="Calibri"/>
                <w:sz w:val="22"/>
                <w:szCs w:val="22"/>
              </w:rPr>
              <w:t>MCS</w:t>
            </w:r>
          </w:p>
        </w:tc>
        <w:tc>
          <w:tcPr>
            <w:tcW w:w="1028" w:type="dxa"/>
            <w:tcBorders>
              <w:top w:val="single" w:sz="2" w:space="0" w:color="auto"/>
              <w:left w:val="single" w:sz="2" w:space="0" w:color="auto"/>
              <w:bottom w:val="single" w:sz="2" w:space="0" w:color="auto"/>
            </w:tcBorders>
            <w:shd w:val="clear" w:color="auto" w:fill="auto"/>
            <w:noWrap/>
            <w:vAlign w:val="center"/>
          </w:tcPr>
          <w:p w:rsidR="00060D0E" w:rsidRPr="0040087C" w:rsidRDefault="00060D0E" w:rsidP="00BE16E3">
            <w:pPr>
              <w:rPr>
                <w:rFonts w:cs="Calibri"/>
                <w:sz w:val="22"/>
                <w:szCs w:val="22"/>
              </w:rPr>
            </w:pPr>
            <w:r w:rsidRPr="0040087C">
              <w:rPr>
                <w:rFonts w:cs="Calibri"/>
                <w:sz w:val="22"/>
                <w:szCs w:val="22"/>
              </w:rPr>
              <w:t>Gideon</w:t>
            </w:r>
          </w:p>
        </w:tc>
        <w:tc>
          <w:tcPr>
            <w:tcW w:w="1239" w:type="dxa"/>
            <w:tcBorders>
              <w:top w:val="single" w:sz="2" w:space="0" w:color="auto"/>
              <w:bottom w:val="single" w:sz="2" w:space="0" w:color="auto"/>
              <w:right w:val="single" w:sz="2" w:space="0" w:color="auto"/>
            </w:tcBorders>
            <w:shd w:val="clear" w:color="auto" w:fill="auto"/>
            <w:noWrap/>
            <w:vAlign w:val="center"/>
          </w:tcPr>
          <w:p w:rsidR="00060D0E" w:rsidRPr="0040087C" w:rsidRDefault="00060D0E" w:rsidP="00BE16E3">
            <w:pPr>
              <w:rPr>
                <w:rFonts w:cs="Calibri"/>
                <w:sz w:val="22"/>
                <w:szCs w:val="22"/>
              </w:rPr>
            </w:pPr>
            <w:r w:rsidRPr="0040087C">
              <w:rPr>
                <w:rFonts w:cs="Calibri"/>
                <w:sz w:val="22"/>
                <w:szCs w:val="22"/>
              </w:rPr>
              <w:t>Richards</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13</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Micropower</w:t>
            </w:r>
            <w:proofErr w:type="spellEnd"/>
            <w:r w:rsidRPr="0040087C">
              <w:rPr>
                <w:rFonts w:cs="Calibri"/>
                <w:sz w:val="22"/>
                <w:szCs w:val="22"/>
              </w:rPr>
              <w:t xml:space="preserve"> Council</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Dave</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Sowden</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14</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NHBC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Neil</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Smith</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15</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Scottish Government</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Joanne</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Wright</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r w:rsidRPr="0040087C">
              <w:rPr>
                <w:rFonts w:cs="Calibri"/>
                <w:sz w:val="22"/>
                <w:szCs w:val="22"/>
              </w:rPr>
              <w:t>dialling in</w:t>
            </w: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16</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SummitSkills</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Nigel</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Hollett </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r w:rsidRPr="0040087C">
              <w:rPr>
                <w:rFonts w:cs="Calibri"/>
                <w:sz w:val="22"/>
                <w:szCs w:val="22"/>
              </w:rPr>
              <w:t>dialling in</w:t>
            </w:r>
          </w:p>
        </w:tc>
      </w:tr>
      <w:tr w:rsidR="00060D0E" w:rsidRPr="0040087C" w:rsidTr="00B80199">
        <w:trPr>
          <w:jc w:val="center"/>
        </w:trPr>
        <w:tc>
          <w:tcPr>
            <w:tcW w:w="549" w:type="dxa"/>
            <w:tcBorders>
              <w:right w:val="single" w:sz="2" w:space="0" w:color="auto"/>
            </w:tcBorders>
            <w:vAlign w:val="center"/>
          </w:tcPr>
          <w:p w:rsidR="00060D0E" w:rsidRPr="0040087C" w:rsidRDefault="00060D0E" w:rsidP="00060D0E">
            <w:pPr>
              <w:jc w:val="center"/>
              <w:rPr>
                <w:rFonts w:cs="Calibri"/>
                <w:sz w:val="22"/>
                <w:szCs w:val="22"/>
              </w:rPr>
            </w:pPr>
            <w:r w:rsidRPr="0040087C">
              <w:rPr>
                <w:rFonts w:cs="Calibri"/>
                <w:sz w:val="22"/>
                <w:szCs w:val="22"/>
              </w:rPr>
              <w:t>17</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UKBCSE</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Amisha</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Patel</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r w:rsidRPr="0040087C">
              <w:rPr>
                <w:rFonts w:cs="Calibri"/>
                <w:sz w:val="22"/>
                <w:szCs w:val="22"/>
              </w:rPr>
              <w:t>dialling in</w:t>
            </w:r>
          </w:p>
        </w:tc>
      </w:tr>
      <w:tr w:rsidR="00060D0E" w:rsidRPr="0040087C" w:rsidTr="00B80199">
        <w:trPr>
          <w:trHeight w:hRule="exact" w:val="170"/>
          <w:jc w:val="center"/>
        </w:trPr>
        <w:tc>
          <w:tcPr>
            <w:tcW w:w="549" w:type="dxa"/>
            <w:tcBorders>
              <w:left w:val="nil"/>
              <w:bottom w:val="nil"/>
              <w:right w:val="nil"/>
            </w:tcBorders>
            <w:vAlign w:val="center"/>
          </w:tcPr>
          <w:p w:rsidR="00060D0E" w:rsidRPr="0040087C" w:rsidRDefault="00060D0E" w:rsidP="00060D0E">
            <w:pPr>
              <w:jc w:val="center"/>
              <w:rPr>
                <w:rFonts w:cs="Calibri"/>
                <w:sz w:val="22"/>
                <w:szCs w:val="22"/>
              </w:rPr>
            </w:pPr>
          </w:p>
        </w:tc>
        <w:tc>
          <w:tcPr>
            <w:tcW w:w="3818"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w:t>
            </w:r>
          </w:p>
        </w:tc>
        <w:tc>
          <w:tcPr>
            <w:tcW w:w="1028"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w:t>
            </w:r>
          </w:p>
        </w:tc>
        <w:tc>
          <w:tcPr>
            <w:tcW w:w="1239"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w:t>
            </w:r>
          </w:p>
        </w:tc>
        <w:tc>
          <w:tcPr>
            <w:tcW w:w="1184" w:type="dxa"/>
            <w:tcBorders>
              <w:top w:val="nil"/>
              <w:left w:val="nil"/>
              <w:bottom w:val="nil"/>
              <w:right w:val="nil"/>
            </w:tcBorders>
            <w:vAlign w:val="center"/>
          </w:tcPr>
          <w:p w:rsidR="00060D0E" w:rsidRPr="0040087C" w:rsidRDefault="00060D0E" w:rsidP="00BE16E3">
            <w:pPr>
              <w:rPr>
                <w:rFonts w:cs="Calibri"/>
                <w:sz w:val="22"/>
                <w:szCs w:val="22"/>
              </w:rPr>
            </w:pPr>
          </w:p>
        </w:tc>
      </w:tr>
      <w:tr w:rsidR="00B80199" w:rsidRPr="0040087C" w:rsidTr="00B80199">
        <w:trPr>
          <w:jc w:val="center"/>
        </w:trPr>
        <w:tc>
          <w:tcPr>
            <w:tcW w:w="4367" w:type="dxa"/>
            <w:gridSpan w:val="2"/>
            <w:tcBorders>
              <w:top w:val="nil"/>
              <w:left w:val="nil"/>
              <w:bottom w:val="single" w:sz="2" w:space="0" w:color="auto"/>
              <w:right w:val="nil"/>
            </w:tcBorders>
            <w:vAlign w:val="center"/>
          </w:tcPr>
          <w:p w:rsidR="00B80199" w:rsidRPr="0040087C" w:rsidRDefault="00B80199" w:rsidP="00BE16E3">
            <w:pPr>
              <w:rPr>
                <w:rFonts w:cs="Calibri"/>
                <w:b/>
                <w:bCs/>
                <w:sz w:val="22"/>
                <w:szCs w:val="22"/>
              </w:rPr>
            </w:pPr>
            <w:r w:rsidRPr="0040087C">
              <w:rPr>
                <w:rFonts w:cs="Calibri"/>
                <w:b/>
                <w:bCs/>
                <w:sz w:val="22"/>
                <w:szCs w:val="22"/>
              </w:rPr>
              <w:t>Apologies</w:t>
            </w:r>
          </w:p>
        </w:tc>
        <w:tc>
          <w:tcPr>
            <w:tcW w:w="1028" w:type="dxa"/>
            <w:tcBorders>
              <w:top w:val="nil"/>
              <w:left w:val="nil"/>
              <w:bottom w:val="single" w:sz="2" w:space="0" w:color="auto"/>
              <w:right w:val="nil"/>
            </w:tcBorders>
            <w:shd w:val="clear" w:color="auto" w:fill="auto"/>
            <w:noWrap/>
            <w:vAlign w:val="center"/>
            <w:hideMark/>
          </w:tcPr>
          <w:p w:rsidR="00B80199" w:rsidRPr="0040087C" w:rsidRDefault="00B80199" w:rsidP="00BE16E3">
            <w:pPr>
              <w:rPr>
                <w:rFonts w:cs="Calibri"/>
                <w:sz w:val="22"/>
                <w:szCs w:val="22"/>
              </w:rPr>
            </w:pPr>
            <w:r w:rsidRPr="0040087C">
              <w:rPr>
                <w:rFonts w:cs="Calibri"/>
                <w:sz w:val="22"/>
                <w:szCs w:val="22"/>
              </w:rPr>
              <w:t> </w:t>
            </w:r>
          </w:p>
        </w:tc>
        <w:tc>
          <w:tcPr>
            <w:tcW w:w="1239" w:type="dxa"/>
            <w:tcBorders>
              <w:top w:val="nil"/>
              <w:left w:val="nil"/>
              <w:bottom w:val="single" w:sz="2" w:space="0" w:color="auto"/>
              <w:right w:val="nil"/>
            </w:tcBorders>
            <w:shd w:val="clear" w:color="auto" w:fill="auto"/>
            <w:noWrap/>
            <w:vAlign w:val="center"/>
            <w:hideMark/>
          </w:tcPr>
          <w:p w:rsidR="00B80199" w:rsidRPr="0040087C" w:rsidRDefault="00B80199" w:rsidP="00BE16E3">
            <w:pPr>
              <w:rPr>
                <w:rFonts w:cs="Calibri"/>
                <w:sz w:val="22"/>
                <w:szCs w:val="22"/>
              </w:rPr>
            </w:pPr>
            <w:r w:rsidRPr="0040087C">
              <w:rPr>
                <w:rFonts w:cs="Calibri"/>
                <w:sz w:val="22"/>
                <w:szCs w:val="22"/>
              </w:rPr>
              <w:t> </w:t>
            </w:r>
          </w:p>
        </w:tc>
        <w:tc>
          <w:tcPr>
            <w:tcW w:w="1184" w:type="dxa"/>
            <w:tcBorders>
              <w:top w:val="nil"/>
              <w:left w:val="nil"/>
              <w:right w:val="nil"/>
            </w:tcBorders>
            <w:vAlign w:val="center"/>
          </w:tcPr>
          <w:p w:rsidR="00B80199" w:rsidRPr="0040087C" w:rsidRDefault="00B80199"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1</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CIPHE</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Blane</w:t>
            </w:r>
            <w:proofErr w:type="spellEnd"/>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Judd</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2</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HHIC </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Roger</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Webb</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3</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HHIC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Chris</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Yates</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4</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REA</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Stuart </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proofErr w:type="spellStart"/>
            <w:r w:rsidRPr="0040087C">
              <w:rPr>
                <w:rFonts w:cs="Calibri"/>
                <w:sz w:val="22"/>
                <w:szCs w:val="22"/>
              </w:rPr>
              <w:t>Pocock</w:t>
            </w:r>
            <w:proofErr w:type="spellEnd"/>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trHeight w:hRule="exact" w:val="170"/>
          <w:jc w:val="center"/>
        </w:trPr>
        <w:tc>
          <w:tcPr>
            <w:tcW w:w="549" w:type="dxa"/>
            <w:tcBorders>
              <w:left w:val="nil"/>
              <w:bottom w:val="nil"/>
              <w:right w:val="nil"/>
            </w:tcBorders>
            <w:vAlign w:val="center"/>
          </w:tcPr>
          <w:p w:rsidR="00060D0E" w:rsidRPr="0040087C" w:rsidRDefault="00060D0E" w:rsidP="00060D0E">
            <w:pPr>
              <w:jc w:val="center"/>
              <w:rPr>
                <w:rFonts w:cs="Calibri"/>
                <w:sz w:val="22"/>
                <w:szCs w:val="22"/>
              </w:rPr>
            </w:pPr>
          </w:p>
        </w:tc>
        <w:tc>
          <w:tcPr>
            <w:tcW w:w="3818"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p>
        </w:tc>
        <w:tc>
          <w:tcPr>
            <w:tcW w:w="1028"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p>
        </w:tc>
        <w:tc>
          <w:tcPr>
            <w:tcW w:w="1239" w:type="dxa"/>
            <w:tcBorders>
              <w:top w:val="single" w:sz="2" w:space="0" w:color="auto"/>
              <w:left w:val="nil"/>
              <w:bottom w:val="nil"/>
              <w:right w:val="nil"/>
            </w:tcBorders>
            <w:shd w:val="clear" w:color="auto" w:fill="auto"/>
            <w:noWrap/>
            <w:vAlign w:val="center"/>
            <w:hideMark/>
          </w:tcPr>
          <w:p w:rsidR="00060D0E" w:rsidRPr="0040087C" w:rsidRDefault="00060D0E" w:rsidP="00BE16E3">
            <w:pPr>
              <w:rPr>
                <w:rFonts w:cs="Calibri"/>
                <w:sz w:val="22"/>
                <w:szCs w:val="22"/>
              </w:rPr>
            </w:pPr>
          </w:p>
        </w:tc>
        <w:tc>
          <w:tcPr>
            <w:tcW w:w="1184" w:type="dxa"/>
            <w:tcBorders>
              <w:top w:val="nil"/>
              <w:left w:val="nil"/>
              <w:bottom w:val="nil"/>
              <w:right w:val="nil"/>
            </w:tcBorders>
            <w:vAlign w:val="center"/>
          </w:tcPr>
          <w:p w:rsidR="00060D0E" w:rsidRPr="0040087C" w:rsidRDefault="00060D0E" w:rsidP="00BE16E3">
            <w:pPr>
              <w:rPr>
                <w:rFonts w:cs="Calibri"/>
                <w:sz w:val="22"/>
                <w:szCs w:val="22"/>
              </w:rPr>
            </w:pPr>
          </w:p>
        </w:tc>
      </w:tr>
      <w:tr w:rsidR="00B80199" w:rsidRPr="0040087C" w:rsidTr="00B80199">
        <w:trPr>
          <w:jc w:val="center"/>
        </w:trPr>
        <w:tc>
          <w:tcPr>
            <w:tcW w:w="4367" w:type="dxa"/>
            <w:gridSpan w:val="2"/>
            <w:tcBorders>
              <w:top w:val="nil"/>
              <w:left w:val="nil"/>
              <w:bottom w:val="single" w:sz="2" w:space="0" w:color="auto"/>
              <w:right w:val="nil"/>
            </w:tcBorders>
            <w:vAlign w:val="center"/>
          </w:tcPr>
          <w:p w:rsidR="00B80199" w:rsidRPr="0040087C" w:rsidRDefault="00B80199" w:rsidP="00BE16E3">
            <w:pPr>
              <w:rPr>
                <w:rFonts w:cs="Calibri"/>
                <w:b/>
                <w:bCs/>
                <w:sz w:val="22"/>
                <w:szCs w:val="22"/>
              </w:rPr>
            </w:pPr>
            <w:r w:rsidRPr="0040087C">
              <w:rPr>
                <w:rFonts w:cs="Calibri"/>
                <w:b/>
                <w:bCs/>
                <w:sz w:val="22"/>
                <w:szCs w:val="22"/>
              </w:rPr>
              <w:t>Did not attend</w:t>
            </w:r>
          </w:p>
        </w:tc>
        <w:tc>
          <w:tcPr>
            <w:tcW w:w="1028" w:type="dxa"/>
            <w:tcBorders>
              <w:top w:val="nil"/>
              <w:left w:val="nil"/>
              <w:bottom w:val="single" w:sz="2" w:space="0" w:color="auto"/>
              <w:right w:val="nil"/>
            </w:tcBorders>
            <w:shd w:val="clear" w:color="auto" w:fill="auto"/>
            <w:noWrap/>
            <w:vAlign w:val="center"/>
            <w:hideMark/>
          </w:tcPr>
          <w:p w:rsidR="00B80199" w:rsidRPr="0040087C" w:rsidRDefault="00B80199" w:rsidP="00BE16E3">
            <w:pPr>
              <w:rPr>
                <w:rFonts w:cs="Calibri"/>
                <w:sz w:val="22"/>
                <w:szCs w:val="22"/>
              </w:rPr>
            </w:pPr>
          </w:p>
        </w:tc>
        <w:tc>
          <w:tcPr>
            <w:tcW w:w="1239" w:type="dxa"/>
            <w:tcBorders>
              <w:top w:val="nil"/>
              <w:left w:val="nil"/>
              <w:bottom w:val="single" w:sz="2" w:space="0" w:color="auto"/>
              <w:right w:val="nil"/>
            </w:tcBorders>
            <w:shd w:val="clear" w:color="auto" w:fill="auto"/>
            <w:noWrap/>
            <w:vAlign w:val="center"/>
            <w:hideMark/>
          </w:tcPr>
          <w:p w:rsidR="00B80199" w:rsidRPr="0040087C" w:rsidRDefault="00B80199" w:rsidP="00BE16E3">
            <w:pPr>
              <w:rPr>
                <w:rFonts w:cs="Calibri"/>
                <w:sz w:val="22"/>
                <w:szCs w:val="22"/>
              </w:rPr>
            </w:pPr>
          </w:p>
        </w:tc>
        <w:tc>
          <w:tcPr>
            <w:tcW w:w="1184" w:type="dxa"/>
            <w:tcBorders>
              <w:top w:val="nil"/>
              <w:left w:val="nil"/>
              <w:bottom w:val="nil"/>
              <w:right w:val="nil"/>
            </w:tcBorders>
            <w:vAlign w:val="center"/>
          </w:tcPr>
          <w:p w:rsidR="00B80199" w:rsidRPr="0040087C" w:rsidRDefault="00B80199"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1</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DECC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Alison </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Bailey</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2</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lang w:val="de-DE"/>
              </w:rPr>
            </w:pPr>
            <w:r w:rsidRPr="0040087C">
              <w:rPr>
                <w:rFonts w:cs="Calibri"/>
                <w:sz w:val="22"/>
                <w:szCs w:val="22"/>
              </w:rPr>
              <w:t>DECC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Daljit</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Supria</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3</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DECC</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Dipak</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Shah</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4</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LGA</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Abigail</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Burridge </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5</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STA </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Alan</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Aldridge</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r w:rsidR="00060D0E" w:rsidRPr="0040087C" w:rsidTr="00B80199">
        <w:trPr>
          <w:jc w:val="center"/>
        </w:trPr>
        <w:tc>
          <w:tcPr>
            <w:tcW w:w="549" w:type="dxa"/>
            <w:tcBorders>
              <w:right w:val="single" w:sz="2" w:space="0" w:color="auto"/>
            </w:tcBorders>
            <w:vAlign w:val="center"/>
          </w:tcPr>
          <w:p w:rsidR="00060D0E" w:rsidRPr="0040087C" w:rsidRDefault="00B80199" w:rsidP="00060D0E">
            <w:pPr>
              <w:jc w:val="center"/>
              <w:rPr>
                <w:rFonts w:cs="Calibri"/>
                <w:sz w:val="22"/>
                <w:szCs w:val="22"/>
              </w:rPr>
            </w:pPr>
            <w:r w:rsidRPr="0040087C">
              <w:rPr>
                <w:rFonts w:cs="Calibri"/>
                <w:sz w:val="22"/>
                <w:szCs w:val="22"/>
              </w:rPr>
              <w:t>6</w:t>
            </w:r>
          </w:p>
        </w:tc>
        <w:tc>
          <w:tcPr>
            <w:tcW w:w="3818"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 xml:space="preserve">STA </w:t>
            </w:r>
          </w:p>
        </w:tc>
        <w:tc>
          <w:tcPr>
            <w:tcW w:w="1028" w:type="dxa"/>
            <w:tcBorders>
              <w:top w:val="single" w:sz="2" w:space="0" w:color="auto"/>
              <w:left w:val="single" w:sz="2" w:space="0" w:color="auto"/>
              <w:bottom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Howard</w:t>
            </w:r>
          </w:p>
        </w:tc>
        <w:tc>
          <w:tcPr>
            <w:tcW w:w="1239" w:type="dxa"/>
            <w:tcBorders>
              <w:top w:val="single" w:sz="2" w:space="0" w:color="auto"/>
              <w:bottom w:val="single" w:sz="2" w:space="0" w:color="auto"/>
              <w:right w:val="single" w:sz="2" w:space="0" w:color="auto"/>
            </w:tcBorders>
            <w:shd w:val="clear" w:color="auto" w:fill="auto"/>
            <w:noWrap/>
            <w:vAlign w:val="center"/>
            <w:hideMark/>
          </w:tcPr>
          <w:p w:rsidR="00060D0E" w:rsidRPr="0040087C" w:rsidRDefault="00060D0E" w:rsidP="00BE16E3">
            <w:pPr>
              <w:rPr>
                <w:rFonts w:cs="Calibri"/>
                <w:sz w:val="22"/>
                <w:szCs w:val="22"/>
              </w:rPr>
            </w:pPr>
            <w:r w:rsidRPr="0040087C">
              <w:rPr>
                <w:rFonts w:cs="Calibri"/>
                <w:sz w:val="22"/>
                <w:szCs w:val="22"/>
              </w:rPr>
              <w:t>Johns</w:t>
            </w:r>
          </w:p>
        </w:tc>
        <w:tc>
          <w:tcPr>
            <w:tcW w:w="1184" w:type="dxa"/>
            <w:tcBorders>
              <w:top w:val="nil"/>
              <w:left w:val="single" w:sz="2" w:space="0" w:color="auto"/>
            </w:tcBorders>
            <w:vAlign w:val="center"/>
          </w:tcPr>
          <w:p w:rsidR="00060D0E" w:rsidRPr="0040087C" w:rsidRDefault="00060D0E" w:rsidP="00BE16E3">
            <w:pPr>
              <w:rPr>
                <w:rFonts w:cs="Calibri"/>
                <w:sz w:val="22"/>
                <w:szCs w:val="22"/>
              </w:rPr>
            </w:pPr>
          </w:p>
        </w:tc>
      </w:tr>
    </w:tbl>
    <w:p w:rsidR="00A8117B" w:rsidRDefault="00A8117B" w:rsidP="005244E7"/>
    <w:p w:rsidR="00F102C9" w:rsidRDefault="00F102C9" w:rsidP="005244E7"/>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firstRow="1" w:lastRow="0" w:firstColumn="1" w:lastColumn="0" w:noHBand="0" w:noVBand="0"/>
      </w:tblPr>
      <w:tblGrid>
        <w:gridCol w:w="9299"/>
      </w:tblGrid>
      <w:tr w:rsidR="00A8117B" w:rsidRPr="00EC38C9" w:rsidTr="00A40387">
        <w:trPr>
          <w:jc w:val="center"/>
        </w:trPr>
        <w:tc>
          <w:tcPr>
            <w:tcW w:w="9299" w:type="dxa"/>
            <w:shd w:val="clear" w:color="auto" w:fill="E6E6E6"/>
            <w:vAlign w:val="center"/>
          </w:tcPr>
          <w:p w:rsidR="00A8117B" w:rsidRPr="00EC38C9" w:rsidRDefault="00A8117B" w:rsidP="005F2803">
            <w:pPr>
              <w:pStyle w:val="ListNumber"/>
              <w:numPr>
                <w:ilvl w:val="0"/>
                <w:numId w:val="21"/>
              </w:numPr>
            </w:pPr>
            <w:r>
              <w:t>Update on actions</w:t>
            </w:r>
          </w:p>
        </w:tc>
      </w:tr>
      <w:tr w:rsidR="00A8117B" w:rsidRPr="00EC38C9" w:rsidTr="00A40387">
        <w:trPr>
          <w:jc w:val="center"/>
        </w:trPr>
        <w:tc>
          <w:tcPr>
            <w:tcW w:w="9299" w:type="dxa"/>
          </w:tcPr>
          <w:p w:rsidR="00A8117B" w:rsidRPr="00EC38C9" w:rsidRDefault="00A8117B" w:rsidP="00645909">
            <w:pPr>
              <w:pStyle w:val="ListBullet3"/>
              <w:numPr>
                <w:ilvl w:val="0"/>
                <w:numId w:val="18"/>
              </w:numPr>
            </w:pPr>
            <w:r>
              <w:t>pending: Nicola O’Connor to update on Green Deal measures / eligibility</w:t>
            </w:r>
          </w:p>
        </w:tc>
      </w:tr>
      <w:tr w:rsidR="00A8117B" w:rsidRPr="00EC38C9" w:rsidTr="00A40387">
        <w:trPr>
          <w:jc w:val="center"/>
        </w:trPr>
        <w:tc>
          <w:tcPr>
            <w:tcW w:w="9299" w:type="dxa"/>
            <w:shd w:val="clear" w:color="auto" w:fill="E6E6E6"/>
            <w:vAlign w:val="center"/>
          </w:tcPr>
          <w:p w:rsidR="00A8117B" w:rsidRPr="00EC38C9" w:rsidRDefault="00A8117B" w:rsidP="005F2803">
            <w:pPr>
              <w:pStyle w:val="ListNumber"/>
              <w:numPr>
                <w:ilvl w:val="0"/>
                <w:numId w:val="21"/>
              </w:numPr>
            </w:pPr>
            <w:r w:rsidRPr="00EC38C9">
              <w:t>Overview of Energy Company Obligation and relationship to microgen and Green Deal</w:t>
            </w:r>
          </w:p>
        </w:tc>
      </w:tr>
      <w:tr w:rsidR="00A8117B" w:rsidRPr="00EC38C9" w:rsidTr="00A40387">
        <w:trPr>
          <w:jc w:val="center"/>
        </w:trPr>
        <w:tc>
          <w:tcPr>
            <w:tcW w:w="9299" w:type="dxa"/>
          </w:tcPr>
          <w:p w:rsidR="00A8117B" w:rsidRDefault="00A8117B" w:rsidP="00E361D6">
            <w:pPr>
              <w:pStyle w:val="ListBullet3"/>
              <w:numPr>
                <w:ilvl w:val="0"/>
                <w:numId w:val="18"/>
              </w:numPr>
            </w:pPr>
            <w:smartTag w:uri="urn:schemas-microsoft-com:office:smarttags" w:element="PersonName">
              <w:r>
                <w:t>Mathias Hessler</w:t>
              </w:r>
            </w:smartTag>
            <w:r>
              <w:t xml:space="preserve"> (MH) read out bullet points provided by Alan Clifford of the DECC ECO team – the points are available as Whiteboard on the Huddle Microgen Workspace.</w:t>
            </w:r>
          </w:p>
          <w:p w:rsidR="00A8117B" w:rsidRDefault="00A8117B" w:rsidP="00082B31">
            <w:pPr>
              <w:pStyle w:val="ListBullet3"/>
              <w:numPr>
                <w:ilvl w:val="0"/>
                <w:numId w:val="18"/>
              </w:numPr>
            </w:pPr>
            <w:r>
              <w:t xml:space="preserve">A question was raised regarding the BSI’s Green Deal Installer PAS – this is not meant to create additional </w:t>
            </w:r>
            <w:smartTag w:uri="urn:schemas-microsoft-com:office:smarttags" w:element="PersonName">
              <w:r>
                <w:t>admin</w:t>
              </w:r>
            </w:smartTag>
            <w:r>
              <w:t xml:space="preserve">istrative burden, but cover all the existing industry standards for the various product sectors covered under the Green Deal. For microgen, the PAS could potentially cross-refer to MCS in the first instance. (A British Standard cannot reference a certification scheme, but it is the understanding that a PAS can). </w:t>
            </w:r>
          </w:p>
          <w:p w:rsidR="00A8117B" w:rsidRDefault="00A8117B" w:rsidP="00082B31">
            <w:pPr>
              <w:pStyle w:val="ListBullet3"/>
              <w:numPr>
                <w:ilvl w:val="0"/>
                <w:numId w:val="18"/>
              </w:numPr>
            </w:pPr>
            <w:r>
              <w:lastRenderedPageBreak/>
              <w:t xml:space="preserve">There is concern that the PAS could duplicate the work of the MCS competent person schemes. </w:t>
            </w:r>
          </w:p>
          <w:p w:rsidR="00A8117B" w:rsidRDefault="00A8117B" w:rsidP="00B25713">
            <w:pPr>
              <w:pStyle w:val="ListBullet3"/>
              <w:numPr>
                <w:ilvl w:val="0"/>
                <w:numId w:val="18"/>
              </w:numPr>
            </w:pPr>
            <w:r>
              <w:t xml:space="preserve">Concern was also raised about the lead times: developing a PAS </w:t>
            </w:r>
            <w:r w:rsidRPr="00A40387">
              <w:rPr>
                <w:i/>
                <w:u w:val="single"/>
              </w:rPr>
              <w:t>can</w:t>
            </w:r>
            <w:r>
              <w:t xml:space="preserve"> be quicker than developing a full British Standard, however there have been examples in the past of PAS developments taking years and getting very contentious (viz PAS 67). </w:t>
            </w:r>
          </w:p>
          <w:p w:rsidR="00A8117B" w:rsidRDefault="00A8117B" w:rsidP="00B25713">
            <w:pPr>
              <w:pStyle w:val="ListBullet3"/>
              <w:numPr>
                <w:ilvl w:val="0"/>
                <w:numId w:val="18"/>
              </w:numPr>
            </w:pPr>
            <w:r>
              <w:t xml:space="preserve">It was also questioned why the PAS should split Heating &amp;Ventilation from microgeneration; from a fuel categorisation this could make sense, but not from a trade / supply chain perspective. </w:t>
            </w:r>
          </w:p>
          <w:p w:rsidR="00A8117B" w:rsidRDefault="00A8117B" w:rsidP="00B25713">
            <w:pPr>
              <w:pStyle w:val="ListBullet3"/>
              <w:numPr>
                <w:ilvl w:val="0"/>
                <w:numId w:val="18"/>
              </w:numPr>
            </w:pPr>
            <w:r>
              <w:t xml:space="preserve">The CPA Green Deal “shadow group” is also doing development work in this area. </w:t>
            </w:r>
          </w:p>
          <w:p w:rsidR="00A8117B" w:rsidRDefault="00A8117B" w:rsidP="00F86AAC">
            <w:pPr>
              <w:pStyle w:val="ListBullet3"/>
              <w:numPr>
                <w:ilvl w:val="0"/>
                <w:numId w:val="18"/>
              </w:numPr>
            </w:pPr>
            <w:r w:rsidRPr="00A40387">
              <w:rPr>
                <w:b/>
              </w:rPr>
              <w:t>Action</w:t>
            </w:r>
            <w:r w:rsidR="00B80199">
              <w:rPr>
                <w:b/>
              </w:rPr>
              <w:t>:</w:t>
            </w:r>
            <w:r w:rsidRPr="00A40387">
              <w:rPr>
                <w:b/>
              </w:rPr>
              <w:t xml:space="preserve"> EEPH</w:t>
            </w:r>
            <w:r>
              <w:t xml:space="preserve"> to establish interlink between the </w:t>
            </w:r>
            <w:r w:rsidRPr="00F36612">
              <w:t xml:space="preserve">Microgen Contact Group and </w:t>
            </w:r>
            <w:r>
              <w:t xml:space="preserve">the Green Deal Installer </w:t>
            </w:r>
            <w:r w:rsidRPr="00F36612">
              <w:t>PAS</w:t>
            </w:r>
          </w:p>
          <w:p w:rsidR="00A8117B" w:rsidRPr="00EC38C9" w:rsidRDefault="00A8117B" w:rsidP="00645909">
            <w:pPr>
              <w:pStyle w:val="ListBullet3"/>
              <w:numPr>
                <w:ilvl w:val="0"/>
                <w:numId w:val="18"/>
              </w:numPr>
            </w:pPr>
            <w:r>
              <w:t xml:space="preserve">The point was also raised that the current EPCs need improvement, as they do not reflect behavioural aspects adequately, and don’t account for the different ways of operation of a gas boiler compared with a biomass boiler – heat requirement calculations cannot just be read across. </w:t>
            </w:r>
            <w:r w:rsidR="008432FD" w:rsidRPr="008432FD">
              <w:rPr>
                <w:b/>
              </w:rPr>
              <w:t>Action: EEPH</w:t>
            </w:r>
            <w:r w:rsidR="008432FD">
              <w:t xml:space="preserve"> to raise this with the relevant Advice forum taskgroup</w:t>
            </w:r>
          </w:p>
        </w:tc>
      </w:tr>
      <w:tr w:rsidR="00A8117B" w:rsidRPr="00EC38C9" w:rsidTr="00A40387">
        <w:trPr>
          <w:jc w:val="center"/>
        </w:trPr>
        <w:tc>
          <w:tcPr>
            <w:tcW w:w="9299" w:type="dxa"/>
            <w:shd w:val="clear" w:color="auto" w:fill="E6E6E6"/>
            <w:vAlign w:val="center"/>
          </w:tcPr>
          <w:p w:rsidR="00A8117B" w:rsidRDefault="00A8117B" w:rsidP="001F4269">
            <w:pPr>
              <w:pStyle w:val="ListNumber"/>
              <w:numPr>
                <w:ilvl w:val="0"/>
                <w:numId w:val="21"/>
              </w:numPr>
            </w:pPr>
            <w:r w:rsidRPr="001F4269">
              <w:lastRenderedPageBreak/>
              <w:t>Feedback on early draft of Microgeneration Strategy</w:t>
            </w:r>
            <w:r>
              <w:t xml:space="preserve"> – David Wagstaff</w:t>
            </w:r>
          </w:p>
        </w:tc>
      </w:tr>
      <w:tr w:rsidR="00A8117B" w:rsidRPr="00EC38C9" w:rsidTr="00A40387">
        <w:trPr>
          <w:jc w:val="center"/>
        </w:trPr>
        <w:tc>
          <w:tcPr>
            <w:tcW w:w="9299" w:type="dxa"/>
          </w:tcPr>
          <w:p w:rsidR="00A8117B" w:rsidRDefault="00A8117B" w:rsidP="00A40387">
            <w:pPr>
              <w:pStyle w:val="ListParagraph"/>
              <w:numPr>
                <w:ilvl w:val="1"/>
                <w:numId w:val="21"/>
              </w:numPr>
            </w:pPr>
            <w:r w:rsidRPr="001F4269">
              <w:t>Feedback from the consultation</w:t>
            </w:r>
          </w:p>
          <w:p w:rsidR="00A8117B" w:rsidRDefault="00A8117B" w:rsidP="001F4269">
            <w:pPr>
              <w:pStyle w:val="ListBullet3"/>
              <w:numPr>
                <w:ilvl w:val="0"/>
                <w:numId w:val="18"/>
              </w:numPr>
            </w:pPr>
            <w:r>
              <w:t xml:space="preserve">There were 170 responses to the Microgen Strategy Consultation, which are now being evaluated. A headline summary is to be published soon. </w:t>
            </w:r>
          </w:p>
          <w:p w:rsidR="00A8117B" w:rsidRDefault="00A8117B" w:rsidP="001F4269">
            <w:pPr>
              <w:pStyle w:val="ListBullet3"/>
              <w:numPr>
                <w:ilvl w:val="0"/>
                <w:numId w:val="18"/>
              </w:numPr>
            </w:pPr>
            <w:r>
              <w:t xml:space="preserve">The responses need to be weighed appropriately, e.g. one trade association’s collective response could otherwise get lost among 100 responses from individual association members. </w:t>
            </w:r>
          </w:p>
          <w:p w:rsidR="00A8117B" w:rsidRDefault="00A8117B" w:rsidP="00D326AB">
            <w:pPr>
              <w:pStyle w:val="ListBullet3"/>
              <w:numPr>
                <w:ilvl w:val="0"/>
                <w:numId w:val="18"/>
              </w:numPr>
            </w:pPr>
            <w:r>
              <w:t>The point was raised that this weighing should also look at the coverage of the association responding in terms of the number of installations done per year by its members (i.e. market share)</w:t>
            </w:r>
          </w:p>
          <w:p w:rsidR="00A8117B" w:rsidRDefault="00A8117B" w:rsidP="00D326AB">
            <w:pPr>
              <w:pStyle w:val="ListBullet3"/>
              <w:numPr>
                <w:ilvl w:val="0"/>
                <w:numId w:val="18"/>
              </w:numPr>
            </w:pPr>
            <w:r>
              <w:t>The evaluation has not yet been discussed with Greg Barker, but he will get an update on responses, including suggestions on overall structure and tone of the Microgen Strategy</w:t>
            </w:r>
          </w:p>
          <w:p w:rsidR="00A8117B" w:rsidRDefault="00A8117B" w:rsidP="00E44ADF">
            <w:pPr>
              <w:pStyle w:val="ListBullet3"/>
              <w:numPr>
                <w:ilvl w:val="0"/>
                <w:numId w:val="18"/>
              </w:numPr>
            </w:pPr>
            <w:r>
              <w:t xml:space="preserve">Although the Consultation was about non-financial barriers, the Strategy could join back up with them. Although this creates some complications, it would not make sense to leave out </w:t>
            </w:r>
            <w:proofErr w:type="spellStart"/>
            <w:r>
              <w:t>FiTs</w:t>
            </w:r>
            <w:proofErr w:type="spellEnd"/>
            <w:r>
              <w:t xml:space="preserve"> and the RHI as they are </w:t>
            </w:r>
            <w:r w:rsidRPr="00E44ADF">
              <w:t xml:space="preserve">the biggest drivers </w:t>
            </w:r>
            <w:r>
              <w:t xml:space="preserve">for the sector. The point to make is that there will not by more money besides </w:t>
            </w:r>
            <w:proofErr w:type="spellStart"/>
            <w:r>
              <w:t>FiTs</w:t>
            </w:r>
            <w:proofErr w:type="spellEnd"/>
            <w:r>
              <w:t xml:space="preserve"> and RHI to overcome practical barriers. </w:t>
            </w:r>
          </w:p>
          <w:p w:rsidR="00A8117B" w:rsidRDefault="00A8117B" w:rsidP="00E44ADF">
            <w:pPr>
              <w:pStyle w:val="ListBullet3"/>
              <w:numPr>
                <w:ilvl w:val="0"/>
                <w:numId w:val="18"/>
              </w:numPr>
            </w:pPr>
            <w:r>
              <w:t xml:space="preserve">21 June is still the date for the publication of the Microgen Strategy. </w:t>
            </w:r>
          </w:p>
          <w:p w:rsidR="00A8117B" w:rsidRDefault="00A8117B" w:rsidP="00F53537">
            <w:pPr>
              <w:pStyle w:val="ListBullet3"/>
              <w:numPr>
                <w:ilvl w:val="0"/>
                <w:numId w:val="18"/>
              </w:numPr>
            </w:pPr>
            <w:r>
              <w:t>The most frequent answer to the consultation is “no comment” – maybe there were too many, or too specific, questions?</w:t>
            </w:r>
          </w:p>
          <w:p w:rsidR="00A8117B" w:rsidRDefault="00A8117B" w:rsidP="00F53537">
            <w:pPr>
              <w:pStyle w:val="ListBullet3"/>
              <w:numPr>
                <w:ilvl w:val="0"/>
                <w:numId w:val="18"/>
              </w:numPr>
            </w:pPr>
            <w:r>
              <w:t>61 respon</w:t>
            </w:r>
            <w:r w:rsidR="00960488">
              <w:t>dents</w:t>
            </w:r>
            <w:r>
              <w:t xml:space="preserve"> support retaining MCS, only 14 are </w:t>
            </w:r>
            <w:r w:rsidR="00960488">
              <w:t>against it.</w:t>
            </w:r>
            <w:r w:rsidR="001E10E4" w:rsidRPr="00990882">
              <w:t xml:space="preserve"> 38 </w:t>
            </w:r>
            <w:r w:rsidR="00960488">
              <w:t xml:space="preserve">respondents </w:t>
            </w:r>
            <w:r w:rsidRPr="00990882">
              <w:t xml:space="preserve">agree that MCS should be revised, and of those, </w:t>
            </w:r>
            <w:r w:rsidR="001E10E4" w:rsidRPr="00990882">
              <w:t xml:space="preserve">27 </w:t>
            </w:r>
            <w:r w:rsidRPr="00990882">
              <w:t>agree that a company is the wa</w:t>
            </w:r>
            <w:r>
              <w:t xml:space="preserve">y to go. This raises some concern about impartiality, which is already been taken account of by setting up the company as not-for-profit and making 50% of board members electable by installer members. </w:t>
            </w:r>
          </w:p>
          <w:p w:rsidR="00A8117B" w:rsidRDefault="00A8117B" w:rsidP="00F53537">
            <w:pPr>
              <w:pStyle w:val="ListBullet3"/>
              <w:numPr>
                <w:ilvl w:val="0"/>
                <w:numId w:val="18"/>
              </w:numPr>
            </w:pPr>
            <w:r>
              <w:t xml:space="preserve">Regarding skills, there is consensus that skills are currently insufficient, and </w:t>
            </w:r>
            <w:proofErr w:type="spellStart"/>
            <w:r>
              <w:t>upskilling</w:t>
            </w:r>
            <w:proofErr w:type="spellEnd"/>
            <w:r>
              <w:t xml:space="preserve"> is required. </w:t>
            </w:r>
          </w:p>
          <w:p w:rsidR="00A8117B" w:rsidRDefault="00A8117B" w:rsidP="00F53537">
            <w:pPr>
              <w:pStyle w:val="ListBullet3"/>
              <w:numPr>
                <w:ilvl w:val="0"/>
                <w:numId w:val="18"/>
              </w:numPr>
            </w:pPr>
            <w:r>
              <w:t xml:space="preserve">Regarding the electricity grid, there is consensus that financial support to modernise the grid is required. Smart Meters and Smart Grids were suggested to assist with balancing. </w:t>
            </w:r>
          </w:p>
          <w:p w:rsidR="00A8117B" w:rsidRDefault="00A8117B" w:rsidP="002F33AE">
            <w:pPr>
              <w:pStyle w:val="ListBullet3"/>
              <w:numPr>
                <w:ilvl w:val="0"/>
                <w:numId w:val="18"/>
              </w:numPr>
            </w:pPr>
            <w:r>
              <w:t xml:space="preserve">Regarding provision for microgen, e.g. storage tanks, a majority of responses agree this should be mandatory for new build (within Part L of building </w:t>
            </w:r>
            <w:proofErr w:type="spellStart"/>
            <w:r>
              <w:t>regs</w:t>
            </w:r>
            <w:proofErr w:type="spellEnd"/>
            <w:r>
              <w:t xml:space="preserve">). An additional argument for this could also be grid balancing: a buffer alleviates grid peak demand issues. </w:t>
            </w:r>
          </w:p>
          <w:p w:rsidR="00A8117B" w:rsidRDefault="00A8117B" w:rsidP="002F33AE">
            <w:pPr>
              <w:pStyle w:val="ListBullet3"/>
              <w:numPr>
                <w:ilvl w:val="0"/>
                <w:numId w:val="18"/>
              </w:numPr>
            </w:pPr>
            <w:r>
              <w:t xml:space="preserve">Discussion ensued at the meeting about retrofitting storage tanks. There was broad agreement that a certain type (size) of storage can be specified if and when a store is installed, but that householders cannot be coerced to retrofit a water tank. Space is often constraint, particularly in flats. </w:t>
            </w:r>
          </w:p>
          <w:p w:rsidR="00A8117B" w:rsidRDefault="00A8117B" w:rsidP="00007205">
            <w:pPr>
              <w:pStyle w:val="ListBullet3"/>
              <w:numPr>
                <w:ilvl w:val="0"/>
                <w:numId w:val="18"/>
              </w:numPr>
            </w:pPr>
            <w:r>
              <w:lastRenderedPageBreak/>
              <w:t>The way to encourage installation of appropriate storage (or other provision) is to incentivise the technology and at the same time ensuring (through MCS</w:t>
            </w:r>
            <w:r w:rsidR="00960488">
              <w:t xml:space="preserve"> and competent person schemes</w:t>
            </w:r>
            <w:r>
              <w:t xml:space="preserve">) that it will work properly, hence requiring a buffer. </w:t>
            </w:r>
          </w:p>
          <w:p w:rsidR="00A8117B" w:rsidRDefault="00A8117B" w:rsidP="00CA5F25">
            <w:pPr>
              <w:pStyle w:val="ListBullet3"/>
              <w:numPr>
                <w:ilvl w:val="0"/>
                <w:numId w:val="18"/>
              </w:numPr>
            </w:pPr>
            <w:r>
              <w:t xml:space="preserve">There was consensus about </w:t>
            </w:r>
            <w:r w:rsidRPr="00CA5F25">
              <w:t xml:space="preserve">bringing together Microgen and Green Deal in </w:t>
            </w:r>
            <w:r>
              <w:t xml:space="preserve">a </w:t>
            </w:r>
            <w:r w:rsidRPr="00CA5F25">
              <w:t>whole-house approach</w:t>
            </w:r>
            <w:r>
              <w:t xml:space="preserve">. </w:t>
            </w:r>
          </w:p>
          <w:p w:rsidR="00A8117B" w:rsidRDefault="00A8117B" w:rsidP="00CA5F25">
            <w:pPr>
              <w:pStyle w:val="ListBullet3"/>
              <w:numPr>
                <w:ilvl w:val="0"/>
                <w:numId w:val="18"/>
              </w:numPr>
            </w:pPr>
            <w:r>
              <w:t xml:space="preserve">The main non-financial barriers for community energy schemes are: </w:t>
            </w:r>
          </w:p>
          <w:p w:rsidR="00A8117B" w:rsidRDefault="00A8117B" w:rsidP="00043F52">
            <w:pPr>
              <w:pStyle w:val="ListBullet4"/>
              <w:numPr>
                <w:ilvl w:val="0"/>
                <w:numId w:val="19"/>
              </w:numPr>
              <w:ind w:left="1361" w:hanging="340"/>
            </w:pPr>
            <w:r>
              <w:t>planning complexity (14 responses)</w:t>
            </w:r>
          </w:p>
          <w:p w:rsidR="00A8117B" w:rsidRDefault="00A8117B" w:rsidP="00043F52">
            <w:pPr>
              <w:pStyle w:val="ListBullet4"/>
              <w:numPr>
                <w:ilvl w:val="0"/>
                <w:numId w:val="19"/>
              </w:numPr>
              <w:ind w:left="1361" w:hanging="340"/>
            </w:pPr>
            <w:r>
              <w:t>lack of awareness (10 responses)</w:t>
            </w:r>
          </w:p>
          <w:p w:rsidR="00A8117B" w:rsidRDefault="00A8117B" w:rsidP="00043F52">
            <w:pPr>
              <w:pStyle w:val="ListBullet3"/>
              <w:numPr>
                <w:ilvl w:val="0"/>
                <w:numId w:val="18"/>
              </w:numPr>
            </w:pPr>
            <w:r>
              <w:t xml:space="preserve">The questions on insurances was answered most frequently with “don’t know”, extended warranties were mentioned several times. </w:t>
            </w:r>
          </w:p>
          <w:p w:rsidR="00A8117B" w:rsidRPr="001F4269" w:rsidRDefault="00A8117B" w:rsidP="00F86AAC">
            <w:pPr>
              <w:pStyle w:val="ListBullet3"/>
              <w:numPr>
                <w:ilvl w:val="0"/>
                <w:numId w:val="18"/>
              </w:numPr>
            </w:pPr>
            <w:r w:rsidRPr="00A40387">
              <w:rPr>
                <w:b/>
              </w:rPr>
              <w:t>Action</w:t>
            </w:r>
            <w:r w:rsidR="00B80199">
              <w:rPr>
                <w:b/>
              </w:rPr>
              <w:t>:</w:t>
            </w:r>
            <w:r w:rsidRPr="00A40387">
              <w:rPr>
                <w:b/>
              </w:rPr>
              <w:t xml:space="preserve"> DS/PR</w:t>
            </w:r>
            <w:r>
              <w:t xml:space="preserve"> to send a rough version of the consultation responses top-level evaluation to the group asap. </w:t>
            </w:r>
          </w:p>
        </w:tc>
      </w:tr>
      <w:tr w:rsidR="00A8117B" w:rsidRPr="00EC38C9" w:rsidTr="00A40387">
        <w:trPr>
          <w:jc w:val="center"/>
        </w:trPr>
        <w:tc>
          <w:tcPr>
            <w:tcW w:w="9299" w:type="dxa"/>
            <w:shd w:val="clear" w:color="auto" w:fill="E6E6E6"/>
            <w:vAlign w:val="center"/>
          </w:tcPr>
          <w:p w:rsidR="00A8117B" w:rsidRDefault="00A8117B" w:rsidP="00043F52">
            <w:pPr>
              <w:pStyle w:val="ListNumber"/>
              <w:numPr>
                <w:ilvl w:val="0"/>
                <w:numId w:val="21"/>
              </w:numPr>
            </w:pPr>
            <w:r w:rsidRPr="00043F52">
              <w:lastRenderedPageBreak/>
              <w:t>Development of implementation plan for microgeneration strategy</w:t>
            </w:r>
          </w:p>
        </w:tc>
      </w:tr>
      <w:tr w:rsidR="00A8117B" w:rsidRPr="00EC38C9" w:rsidTr="00A40387">
        <w:trPr>
          <w:jc w:val="center"/>
        </w:trPr>
        <w:tc>
          <w:tcPr>
            <w:tcW w:w="9299" w:type="dxa"/>
          </w:tcPr>
          <w:p w:rsidR="00A8117B" w:rsidRDefault="00A8117B" w:rsidP="00201D00">
            <w:pPr>
              <w:pStyle w:val="ListBullet3"/>
              <w:numPr>
                <w:ilvl w:val="0"/>
                <w:numId w:val="18"/>
              </w:numPr>
            </w:pPr>
            <w:r>
              <w:t xml:space="preserve">The group agrees that it should act as a project board for developing and implementing a delivery plan for the Microgeneration Strategy. </w:t>
            </w:r>
          </w:p>
          <w:p w:rsidR="00A8117B" w:rsidRDefault="00A8117B" w:rsidP="00043F52">
            <w:pPr>
              <w:pStyle w:val="ListBullet3"/>
              <w:numPr>
                <w:ilvl w:val="0"/>
                <w:numId w:val="18"/>
              </w:numPr>
            </w:pPr>
            <w:r>
              <w:t xml:space="preserve">A workshop session is planned for </w:t>
            </w:r>
            <w:r w:rsidRPr="00A40387">
              <w:rPr>
                <w:u w:val="single"/>
              </w:rPr>
              <w:t>9 May, 14:00 – 17:00</w:t>
            </w:r>
            <w:r>
              <w:t>, venue tbc</w:t>
            </w:r>
          </w:p>
          <w:p w:rsidR="00A8117B" w:rsidRDefault="00B80199" w:rsidP="00F86AAC">
            <w:pPr>
              <w:pStyle w:val="ListBullet3"/>
              <w:numPr>
                <w:ilvl w:val="0"/>
                <w:numId w:val="18"/>
              </w:numPr>
            </w:pPr>
            <w:r>
              <w:rPr>
                <w:b/>
              </w:rPr>
              <w:t xml:space="preserve">Action: </w:t>
            </w:r>
            <w:r w:rsidR="00A8117B" w:rsidRPr="00A40387">
              <w:rPr>
                <w:b/>
              </w:rPr>
              <w:t>EEPH</w:t>
            </w:r>
            <w:r w:rsidR="00A8117B">
              <w:t xml:space="preserve"> to setup discussion forums on Huddle in advance, to allow for preparatory exchange</w:t>
            </w:r>
            <w:r w:rsidR="00FE3B16">
              <w:t xml:space="preserve"> on the 6 key themes: </w:t>
            </w:r>
          </w:p>
          <w:p w:rsidR="00112D05" w:rsidRDefault="00112D05" w:rsidP="00112D05">
            <w:pPr>
              <w:pStyle w:val="ListNumber3"/>
            </w:pPr>
            <w:r>
              <w:t>MCS – lead: Gideon Richards</w:t>
            </w:r>
          </w:p>
          <w:p w:rsidR="00112D05" w:rsidRDefault="00112D05" w:rsidP="00112D05">
            <w:pPr>
              <w:pStyle w:val="ListNumber3"/>
            </w:pPr>
            <w:r>
              <w:t>SAP – lead: Dave Sowden</w:t>
            </w:r>
          </w:p>
          <w:p w:rsidR="00112D05" w:rsidRDefault="00112D05" w:rsidP="00112D05">
            <w:pPr>
              <w:pStyle w:val="ListNumber3"/>
            </w:pPr>
            <w:r>
              <w:t>Insurance and warrantees – lead: Kelly Butler</w:t>
            </w:r>
          </w:p>
          <w:p w:rsidR="00112D05" w:rsidRDefault="00112D05" w:rsidP="00112D05">
            <w:pPr>
              <w:pStyle w:val="ListNumber3"/>
            </w:pPr>
            <w:r>
              <w:t>Training – lead: Nigel Hollett</w:t>
            </w:r>
          </w:p>
          <w:p w:rsidR="00112D05" w:rsidRDefault="00112D05" w:rsidP="00112D05">
            <w:pPr>
              <w:pStyle w:val="ListNumber3"/>
            </w:pPr>
            <w:r>
              <w:t xml:space="preserve">Technology </w:t>
            </w:r>
            <w:proofErr w:type="spellStart"/>
            <w:r>
              <w:t>routemaps</w:t>
            </w:r>
            <w:proofErr w:type="spellEnd"/>
          </w:p>
          <w:p w:rsidR="00112D05" w:rsidRDefault="00112D05" w:rsidP="00112D05">
            <w:pPr>
              <w:pStyle w:val="ListNumber3"/>
            </w:pPr>
            <w:r>
              <w:t>Communications with public</w:t>
            </w:r>
          </w:p>
          <w:p w:rsidR="00A8117B" w:rsidRDefault="00A8117B" w:rsidP="00043F52">
            <w:pPr>
              <w:pStyle w:val="ListBullet3"/>
              <w:numPr>
                <w:ilvl w:val="0"/>
                <w:numId w:val="18"/>
              </w:numPr>
            </w:pPr>
            <w:r>
              <w:t xml:space="preserve">Ministers are to decide whether the strategy can be jointly owned by government and industry. They might still want to have prerogative e.g. in Treasury-related areas. </w:t>
            </w:r>
          </w:p>
          <w:p w:rsidR="00A8117B" w:rsidRDefault="00A8117B" w:rsidP="00043F52">
            <w:pPr>
              <w:pStyle w:val="ListBullet3"/>
              <w:numPr>
                <w:ilvl w:val="0"/>
                <w:numId w:val="18"/>
              </w:numPr>
            </w:pPr>
            <w:r>
              <w:t xml:space="preserve">Joint ownership would make sense as some issues need to be taken forward by industry, e.g. the national skills academy, while some other issues are Government-driven, e.g. SAP or Building Regulations Part L revision. </w:t>
            </w:r>
          </w:p>
          <w:p w:rsidR="00A8117B" w:rsidRDefault="00A8117B" w:rsidP="00223669">
            <w:pPr>
              <w:pStyle w:val="ListBullet3"/>
              <w:numPr>
                <w:ilvl w:val="0"/>
                <w:numId w:val="18"/>
              </w:numPr>
            </w:pPr>
            <w:r>
              <w:t xml:space="preserve">An alternative to the strategy itself being owned jointly by government and industry, the </w:t>
            </w:r>
            <w:r w:rsidRPr="00A40387">
              <w:rPr>
                <w:i/>
              </w:rPr>
              <w:t>delivery plan</w:t>
            </w:r>
            <w:r>
              <w:t xml:space="preserve"> could be jointly owned. Some elements of delivery are already integrated in the strategy though, while others are separate (“we will create a workstream…”)</w:t>
            </w:r>
          </w:p>
          <w:p w:rsidR="00A8117B" w:rsidRDefault="00A8117B" w:rsidP="00223669">
            <w:pPr>
              <w:pStyle w:val="ListBullet3"/>
              <w:numPr>
                <w:ilvl w:val="0"/>
                <w:numId w:val="18"/>
              </w:numPr>
            </w:pPr>
            <w:r>
              <w:t>Reform of MCS and SAP are already workstreams within the strategy (led by Paul Rochester?)</w:t>
            </w:r>
          </w:p>
          <w:p w:rsidR="00A8117B" w:rsidRDefault="00A8117B" w:rsidP="00223669">
            <w:pPr>
              <w:pStyle w:val="ListBullet3"/>
              <w:numPr>
                <w:ilvl w:val="0"/>
                <w:numId w:val="18"/>
              </w:numPr>
            </w:pPr>
            <w:r>
              <w:t>The contact group could provide professional project management infrastructure, making workstreams attributable and accountable within the industry</w:t>
            </w:r>
          </w:p>
          <w:p w:rsidR="00A8117B" w:rsidRPr="00043F52" w:rsidRDefault="00A8117B" w:rsidP="007602D5">
            <w:pPr>
              <w:pStyle w:val="ListBullet3"/>
              <w:numPr>
                <w:ilvl w:val="0"/>
                <w:numId w:val="18"/>
              </w:numPr>
            </w:pPr>
            <w:r>
              <w:t xml:space="preserve">The point was raised that “the industry” should read “the stakeholders”, which should include consumer representation. </w:t>
            </w:r>
          </w:p>
        </w:tc>
      </w:tr>
      <w:tr w:rsidR="00A8117B" w:rsidRPr="00EC38C9" w:rsidTr="00A40387">
        <w:trPr>
          <w:jc w:val="center"/>
        </w:trPr>
        <w:tc>
          <w:tcPr>
            <w:tcW w:w="9299" w:type="dxa"/>
            <w:shd w:val="clear" w:color="auto" w:fill="E6E6E6"/>
            <w:vAlign w:val="center"/>
          </w:tcPr>
          <w:p w:rsidR="00A8117B" w:rsidRDefault="00A8117B" w:rsidP="00C60C6D">
            <w:pPr>
              <w:pStyle w:val="ListNumber"/>
              <w:numPr>
                <w:ilvl w:val="0"/>
                <w:numId w:val="21"/>
              </w:numPr>
            </w:pPr>
            <w:r w:rsidRPr="00C60C6D">
              <w:t>RHI and SAP issues paper</w:t>
            </w:r>
          </w:p>
        </w:tc>
      </w:tr>
      <w:tr w:rsidR="00A8117B" w:rsidRPr="00EC38C9" w:rsidTr="00A40387">
        <w:trPr>
          <w:jc w:val="center"/>
        </w:trPr>
        <w:tc>
          <w:tcPr>
            <w:tcW w:w="9299" w:type="dxa"/>
          </w:tcPr>
          <w:p w:rsidR="00A8117B" w:rsidRDefault="00A8117B" w:rsidP="00C60C6D">
            <w:pPr>
              <w:pStyle w:val="ListBullet3"/>
              <w:numPr>
                <w:ilvl w:val="0"/>
                <w:numId w:val="18"/>
              </w:numPr>
            </w:pPr>
            <w:r>
              <w:t xml:space="preserve">A presentation on SAP issues was given by Tony </w:t>
            </w:r>
            <w:proofErr w:type="spellStart"/>
            <w:r>
              <w:t>Staniforth</w:t>
            </w:r>
            <w:proofErr w:type="spellEnd"/>
            <w:r>
              <w:t xml:space="preserve"> of </w:t>
            </w:r>
            <w:proofErr w:type="spellStart"/>
            <w:r>
              <w:t>Kingspan</w:t>
            </w:r>
            <w:proofErr w:type="spellEnd"/>
            <w:r>
              <w:t xml:space="preserve"> on behalf of the </w:t>
            </w:r>
            <w:proofErr w:type="spellStart"/>
            <w:r>
              <w:t>Micropower</w:t>
            </w:r>
            <w:proofErr w:type="spellEnd"/>
            <w:r>
              <w:t xml:space="preserve"> council. </w:t>
            </w:r>
            <w:r w:rsidRPr="00A40387">
              <w:rPr>
                <w:b/>
              </w:rPr>
              <w:t>The slides are available on Huddle</w:t>
            </w:r>
            <w:r>
              <w:t xml:space="preserve"> (in the 2011-04-08 folder).</w:t>
            </w:r>
          </w:p>
          <w:p w:rsidR="00A8117B" w:rsidRDefault="00A8117B" w:rsidP="00C60C6D">
            <w:pPr>
              <w:pStyle w:val="ListBullet3"/>
              <w:numPr>
                <w:ilvl w:val="0"/>
                <w:numId w:val="18"/>
              </w:numPr>
            </w:pPr>
            <w:r>
              <w:t xml:space="preserve">SAP is a compliance tool for EPCs, not a specification/design tool, however it is used as such, including specification of components and procurement. </w:t>
            </w:r>
          </w:p>
          <w:p w:rsidR="00A8117B" w:rsidRDefault="00A8117B" w:rsidP="005D5C14">
            <w:pPr>
              <w:pStyle w:val="ListBullet3"/>
              <w:numPr>
                <w:ilvl w:val="0"/>
                <w:numId w:val="18"/>
              </w:numPr>
            </w:pPr>
            <w:r>
              <w:t xml:space="preserve">There are several shortcomings in SAP which the group raised and discussed, e.g. different floor coverings not linked to heat pump technology; flow temperatures and different heat emitters (radiators, </w:t>
            </w:r>
            <w:proofErr w:type="spellStart"/>
            <w:r>
              <w:t>underfloor</w:t>
            </w:r>
            <w:proofErr w:type="spellEnd"/>
            <w:r>
              <w:t xml:space="preserve">); overestimation of boiler performance. </w:t>
            </w:r>
          </w:p>
          <w:p w:rsidR="00A8117B" w:rsidRDefault="00A8117B" w:rsidP="005D5C14">
            <w:pPr>
              <w:pStyle w:val="ListBullet3"/>
              <w:numPr>
                <w:ilvl w:val="0"/>
                <w:numId w:val="18"/>
              </w:numPr>
            </w:pPr>
            <w:r>
              <w:t>The point was also made that some issues industry had flagged up previously have been fixed in the SAP 2009 revision; so rather than being critical, industry wants to raise remaining issues for the next revision.</w:t>
            </w:r>
          </w:p>
          <w:p w:rsidR="00A8117B" w:rsidRDefault="00A8117B" w:rsidP="005D5C14">
            <w:pPr>
              <w:pStyle w:val="ListBullet3"/>
              <w:numPr>
                <w:ilvl w:val="0"/>
                <w:numId w:val="18"/>
              </w:numPr>
            </w:pPr>
            <w:r>
              <w:lastRenderedPageBreak/>
              <w:t xml:space="preserve">The question was raised whether there could be one building assessment scheme, rather than SAP and SBEM separately. </w:t>
            </w:r>
          </w:p>
          <w:p w:rsidR="00A8117B" w:rsidRDefault="00A8117B" w:rsidP="005D5C14">
            <w:pPr>
              <w:pStyle w:val="ListBullet3"/>
              <w:numPr>
                <w:ilvl w:val="0"/>
                <w:numId w:val="18"/>
              </w:numPr>
            </w:pPr>
            <w:r>
              <w:t>The Zero Carbon Hub is already doing work on SAP improvements</w:t>
            </w:r>
          </w:p>
          <w:p w:rsidR="00A8117B" w:rsidRDefault="00A8117B" w:rsidP="005D5C14">
            <w:pPr>
              <w:pStyle w:val="ListBullet3"/>
              <w:numPr>
                <w:ilvl w:val="0"/>
                <w:numId w:val="18"/>
              </w:numPr>
            </w:pPr>
            <w:r>
              <w:t>The point was made that the timing of the RHI is crucial for revising the assessment tools.</w:t>
            </w:r>
          </w:p>
          <w:p w:rsidR="00A8117B" w:rsidRDefault="00A8117B" w:rsidP="005D5C14">
            <w:pPr>
              <w:pStyle w:val="ListBullet3"/>
              <w:numPr>
                <w:ilvl w:val="0"/>
                <w:numId w:val="18"/>
              </w:numPr>
            </w:pPr>
            <w:r>
              <w:t xml:space="preserve">There could be two workstreams around SAP: </w:t>
            </w:r>
          </w:p>
          <w:p w:rsidR="00A8117B" w:rsidRDefault="00A8117B" w:rsidP="00BD26F7">
            <w:pPr>
              <w:pStyle w:val="ListBullet4"/>
              <w:numPr>
                <w:ilvl w:val="0"/>
                <w:numId w:val="19"/>
              </w:numPr>
              <w:ind w:left="1361" w:hanging="340"/>
            </w:pPr>
            <w:r>
              <w:t>Workstream 1: fixing errors and revising the existing tool</w:t>
            </w:r>
          </w:p>
          <w:p w:rsidR="00A8117B" w:rsidRDefault="00A8117B" w:rsidP="00BD26F7">
            <w:pPr>
              <w:pStyle w:val="ListBullet4"/>
              <w:numPr>
                <w:ilvl w:val="0"/>
                <w:numId w:val="19"/>
              </w:numPr>
              <w:ind w:left="1361" w:hanging="340"/>
            </w:pPr>
            <w:r>
              <w:t>Workstream 2: Developing a single design and compliance tool (more strategic)</w:t>
            </w:r>
          </w:p>
          <w:p w:rsidR="00A8117B" w:rsidRPr="00C60C6D" w:rsidRDefault="00A8117B" w:rsidP="00686899">
            <w:pPr>
              <w:pStyle w:val="ListBullet3"/>
              <w:numPr>
                <w:ilvl w:val="0"/>
                <w:numId w:val="18"/>
              </w:numPr>
            </w:pPr>
            <w:r>
              <w:t>A short industry-wide consultation on the SAP issues was proposed (</w:t>
            </w:r>
            <w:r w:rsidRPr="00686899">
              <w:t>“We as the industry think these issues need amendment in SAP, do you agree”</w:t>
            </w:r>
            <w:r>
              <w:t>). The collated “snag list” could then be submitted to DECC</w:t>
            </w:r>
          </w:p>
        </w:tc>
      </w:tr>
      <w:tr w:rsidR="00A8117B" w:rsidRPr="00EC38C9" w:rsidTr="00A40387">
        <w:trPr>
          <w:jc w:val="center"/>
        </w:trPr>
        <w:tc>
          <w:tcPr>
            <w:tcW w:w="9299" w:type="dxa"/>
            <w:shd w:val="clear" w:color="auto" w:fill="E6E6E6"/>
            <w:vAlign w:val="center"/>
          </w:tcPr>
          <w:p w:rsidR="00A8117B" w:rsidRDefault="00A8117B" w:rsidP="006012DB">
            <w:pPr>
              <w:pStyle w:val="ListNumber"/>
              <w:numPr>
                <w:ilvl w:val="0"/>
                <w:numId w:val="21"/>
              </w:numPr>
            </w:pPr>
            <w:r>
              <w:lastRenderedPageBreak/>
              <w:t>Chair for the group</w:t>
            </w:r>
          </w:p>
        </w:tc>
      </w:tr>
      <w:tr w:rsidR="00A8117B" w:rsidRPr="00EC38C9" w:rsidTr="00A40387">
        <w:trPr>
          <w:jc w:val="center"/>
        </w:trPr>
        <w:tc>
          <w:tcPr>
            <w:tcW w:w="9299" w:type="dxa"/>
          </w:tcPr>
          <w:p w:rsidR="00A8117B" w:rsidRPr="00990882" w:rsidRDefault="00A8117B" w:rsidP="006012DB">
            <w:pPr>
              <w:pStyle w:val="ListBullet3"/>
              <w:numPr>
                <w:ilvl w:val="0"/>
                <w:numId w:val="18"/>
              </w:numPr>
            </w:pPr>
            <w:r>
              <w:t xml:space="preserve">It was discussed whether the group should have a rotating chair, or rather a high-profile, independent </w:t>
            </w:r>
            <w:r w:rsidRPr="00990882">
              <w:t xml:space="preserve">and permanent chair, </w:t>
            </w:r>
            <w:r w:rsidR="000360DC" w:rsidRPr="00990882">
              <w:t xml:space="preserve">perhaps </w:t>
            </w:r>
            <w:r w:rsidRPr="00990882">
              <w:t xml:space="preserve">appointed by Greg Barker, which could add accountability, credibility and transparency to the group. </w:t>
            </w:r>
          </w:p>
          <w:p w:rsidR="00A8117B" w:rsidRPr="00990882" w:rsidRDefault="00A8117B" w:rsidP="006012DB">
            <w:pPr>
              <w:pStyle w:val="ListBullet3"/>
              <w:numPr>
                <w:ilvl w:val="0"/>
                <w:numId w:val="18"/>
              </w:numPr>
            </w:pPr>
            <w:r w:rsidRPr="00990882">
              <w:t xml:space="preserve">The questions was raised what the chairperson’s motivation would be to take on this task if this person had no vested interest, and it was agreed that the chair would need to be paid. </w:t>
            </w:r>
          </w:p>
          <w:p w:rsidR="00A8117B" w:rsidRPr="00990882" w:rsidRDefault="00A8117B" w:rsidP="006012DB">
            <w:pPr>
              <w:pStyle w:val="ListBullet3"/>
              <w:numPr>
                <w:ilvl w:val="0"/>
                <w:numId w:val="18"/>
              </w:numPr>
            </w:pPr>
            <w:r w:rsidRPr="00990882">
              <w:t xml:space="preserve">The British Energy Efficiency Federation is an example where the chair, Andrew Warren, and a small secretariat are funded by industry (£1000 per year per member organisation). It was discussed whether a similar model could be used here, with EEPH providing the secretariat support. </w:t>
            </w:r>
          </w:p>
          <w:p w:rsidR="00A8117B" w:rsidRDefault="00A8117B" w:rsidP="00990882">
            <w:pPr>
              <w:pStyle w:val="ListBullet3"/>
              <w:numPr>
                <w:ilvl w:val="0"/>
                <w:numId w:val="18"/>
              </w:numPr>
            </w:pPr>
            <w:r w:rsidRPr="00990882">
              <w:rPr>
                <w:b/>
              </w:rPr>
              <w:t>Action</w:t>
            </w:r>
            <w:r w:rsidR="00500AA5" w:rsidRPr="00990882">
              <w:rPr>
                <w:b/>
              </w:rPr>
              <w:t>:</w:t>
            </w:r>
            <w:r w:rsidRPr="00990882">
              <w:rPr>
                <w:b/>
              </w:rPr>
              <w:t xml:space="preserve"> </w:t>
            </w:r>
            <w:r w:rsidR="000360DC" w:rsidRPr="00990882">
              <w:rPr>
                <w:b/>
              </w:rPr>
              <w:t xml:space="preserve">DW </w:t>
            </w:r>
            <w:r w:rsidR="000360DC" w:rsidRPr="00990882">
              <w:t>to find out what the precedents are around appointing paid chairs to bodies such as this, and whether there are any constraints eg. in terms of rules about public appointments, and if appropriate to raise the possibility with Ministers</w:t>
            </w:r>
          </w:p>
        </w:tc>
      </w:tr>
      <w:tr w:rsidR="00A8117B" w:rsidRPr="00EC38C9" w:rsidTr="00A40387">
        <w:trPr>
          <w:jc w:val="center"/>
        </w:trPr>
        <w:tc>
          <w:tcPr>
            <w:tcW w:w="9299" w:type="dxa"/>
            <w:shd w:val="clear" w:color="auto" w:fill="E6E6E6"/>
            <w:vAlign w:val="center"/>
          </w:tcPr>
          <w:p w:rsidR="00A8117B" w:rsidRDefault="00A8117B" w:rsidP="00686899">
            <w:pPr>
              <w:pStyle w:val="ListNumber"/>
              <w:numPr>
                <w:ilvl w:val="0"/>
                <w:numId w:val="21"/>
              </w:numPr>
            </w:pPr>
            <w:r>
              <w:t>AOB</w:t>
            </w:r>
          </w:p>
        </w:tc>
      </w:tr>
      <w:tr w:rsidR="00A8117B" w:rsidRPr="00EC38C9" w:rsidTr="00A40387">
        <w:trPr>
          <w:jc w:val="center"/>
        </w:trPr>
        <w:tc>
          <w:tcPr>
            <w:tcW w:w="9299" w:type="dxa"/>
          </w:tcPr>
          <w:p w:rsidR="00A8117B" w:rsidRDefault="00A8117B" w:rsidP="006012DB">
            <w:pPr>
              <w:pStyle w:val="ListBullet3"/>
              <w:numPr>
                <w:ilvl w:val="0"/>
                <w:numId w:val="18"/>
              </w:numPr>
            </w:pPr>
            <w:r>
              <w:t>EEPH have received a request form the British Photovoltaic Association to join the group</w:t>
            </w:r>
          </w:p>
          <w:p w:rsidR="00A8117B" w:rsidRDefault="00A8117B" w:rsidP="00BD26F7">
            <w:pPr>
              <w:pStyle w:val="ListBullet4"/>
              <w:numPr>
                <w:ilvl w:val="0"/>
                <w:numId w:val="19"/>
              </w:numPr>
              <w:ind w:left="1361" w:hanging="340"/>
            </w:pPr>
            <w:r>
              <w:t>The question was raised what this association could add on top of the REA and STA.</w:t>
            </w:r>
          </w:p>
          <w:p w:rsidR="00A8117B" w:rsidRDefault="00A8117B" w:rsidP="00BD26F7">
            <w:pPr>
              <w:pStyle w:val="ListBullet4"/>
              <w:numPr>
                <w:ilvl w:val="0"/>
                <w:numId w:val="19"/>
              </w:numPr>
              <w:ind w:left="1361" w:hanging="340"/>
            </w:pPr>
            <w:r>
              <w:t xml:space="preserve">The BPA specialises in communications with the public and marketing/PR, and has 150 members. </w:t>
            </w:r>
          </w:p>
          <w:p w:rsidR="00A8117B" w:rsidRDefault="00A8117B" w:rsidP="00BD26F7">
            <w:pPr>
              <w:pStyle w:val="ListBullet4"/>
              <w:numPr>
                <w:ilvl w:val="0"/>
                <w:numId w:val="19"/>
              </w:numPr>
              <w:ind w:left="1361" w:hanging="340"/>
            </w:pPr>
            <w:r>
              <w:t xml:space="preserve">Rather than allowing for a proliferation of trade associations, it needs to be evaluated case by case what each can contribute. If membership of two associations overlaps a lot, than having both doesn’t add much value. </w:t>
            </w:r>
          </w:p>
          <w:p w:rsidR="00A8117B" w:rsidRDefault="00A8117B" w:rsidP="00BD26F7">
            <w:pPr>
              <w:pStyle w:val="ListBullet4"/>
              <w:numPr>
                <w:ilvl w:val="0"/>
                <w:numId w:val="19"/>
              </w:numPr>
              <w:ind w:left="1361" w:hanging="340"/>
            </w:pPr>
            <w:r>
              <w:t xml:space="preserve">Agreed to invite BPA to be a member of the group. </w:t>
            </w:r>
            <w:r w:rsidRPr="00500AA5">
              <w:rPr>
                <w:b/>
              </w:rPr>
              <w:t>Action:</w:t>
            </w:r>
            <w:r w:rsidRPr="00B80199">
              <w:rPr>
                <w:b/>
              </w:rPr>
              <w:t xml:space="preserve"> </w:t>
            </w:r>
            <w:r w:rsidRPr="00500AA5">
              <w:rPr>
                <w:b/>
              </w:rPr>
              <w:t>EEPH</w:t>
            </w:r>
            <w:r>
              <w:t xml:space="preserve"> to invite BPA to next meeting.</w:t>
            </w:r>
          </w:p>
          <w:p w:rsidR="00A8117B" w:rsidRDefault="00A8117B" w:rsidP="00BD26F7">
            <w:pPr>
              <w:pStyle w:val="ListBullet3"/>
              <w:numPr>
                <w:ilvl w:val="0"/>
                <w:numId w:val="18"/>
              </w:numPr>
            </w:pPr>
            <w:r>
              <w:t xml:space="preserve">Nigel Hollett offers to give a presentation at the next meeting on the new Skills Academy. </w:t>
            </w:r>
            <w:r w:rsidRPr="00A40387">
              <w:rPr>
                <w:b/>
              </w:rPr>
              <w:t>Action</w:t>
            </w:r>
            <w:r w:rsidR="00500AA5">
              <w:rPr>
                <w:b/>
              </w:rPr>
              <w:t>:</w:t>
            </w:r>
            <w:r w:rsidRPr="00B80199">
              <w:rPr>
                <w:b/>
              </w:rPr>
              <w:t xml:space="preserve"> </w:t>
            </w:r>
            <w:r w:rsidRPr="00A40387">
              <w:rPr>
                <w:b/>
              </w:rPr>
              <w:t>EEPH</w:t>
            </w:r>
            <w:r>
              <w:t xml:space="preserve"> to put onto the agenda. </w:t>
            </w:r>
          </w:p>
          <w:p w:rsidR="00A8117B" w:rsidRDefault="00A8117B" w:rsidP="00246FCD">
            <w:pPr>
              <w:pStyle w:val="ListBullet3"/>
              <w:numPr>
                <w:ilvl w:val="0"/>
                <w:numId w:val="18"/>
              </w:numPr>
            </w:pPr>
            <w:r>
              <w:t xml:space="preserve">Next meeting: </w:t>
            </w:r>
            <w:r w:rsidR="00500AA5" w:rsidRPr="00500AA5">
              <w:rPr>
                <w:b/>
              </w:rPr>
              <w:t>Action: EEPH</w:t>
            </w:r>
            <w:r w:rsidR="00500AA5">
              <w:t xml:space="preserve"> to arrange a date</w:t>
            </w:r>
            <w:r w:rsidR="00D5520E">
              <w:t xml:space="preserve"> </w:t>
            </w:r>
          </w:p>
        </w:tc>
      </w:tr>
    </w:tbl>
    <w:p w:rsidR="00A8117B" w:rsidRPr="005244E7" w:rsidRDefault="00A8117B" w:rsidP="00BD26F7"/>
    <w:sectPr w:rsidR="00A8117B" w:rsidRPr="005244E7" w:rsidSect="00782F21">
      <w:footerReference w:type="default" r:id="rId9"/>
      <w:pgSz w:w="11906" w:h="16838"/>
      <w:pgMar w:top="1304" w:right="1304" w:bottom="1418"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88D" w:rsidRDefault="00FB588D" w:rsidP="0040087C">
      <w:r>
        <w:separator/>
      </w:r>
    </w:p>
  </w:endnote>
  <w:endnote w:type="continuationSeparator" w:id="0">
    <w:p w:rsidR="00FB588D" w:rsidRDefault="00FB588D" w:rsidP="0040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87C" w:rsidRDefault="0040087C" w:rsidP="00431BF5">
    <w:pPr>
      <w:pStyle w:val="Footer"/>
      <w:jc w:val="center"/>
    </w:pPr>
    <w:r>
      <w:t xml:space="preserve">Page </w:t>
    </w:r>
    <w:r w:rsidR="00960488">
      <w:fldChar w:fldCharType="begin"/>
    </w:r>
    <w:r w:rsidR="00960488">
      <w:instrText xml:space="preserve"> PAGE   \* MERGEFORMAT </w:instrText>
    </w:r>
    <w:r w:rsidR="00960488">
      <w:fldChar w:fldCharType="separate"/>
    </w:r>
    <w:r w:rsidR="00960488">
      <w:rPr>
        <w:noProof/>
      </w:rPr>
      <w:t>1</w:t>
    </w:r>
    <w:r w:rsidR="00960488">
      <w:rPr>
        <w:noProof/>
      </w:rPr>
      <w:fldChar w:fldCharType="end"/>
    </w:r>
    <w:r>
      <w:rPr>
        <w:noProof/>
      </w:rPr>
      <w:t xml:space="preserve"> of </w:t>
    </w:r>
    <w:r w:rsidR="00960488">
      <w:fldChar w:fldCharType="begin"/>
    </w:r>
    <w:r w:rsidR="00960488">
      <w:instrText xml:space="preserve"> NUMPAGES   \* MERGEFORMAT </w:instrText>
    </w:r>
    <w:r w:rsidR="00960488">
      <w:fldChar w:fldCharType="separate"/>
    </w:r>
    <w:r w:rsidR="00960488">
      <w:rPr>
        <w:noProof/>
      </w:rPr>
      <w:t>4</w:t>
    </w:r>
    <w:r w:rsidR="0096048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88D" w:rsidRDefault="00FB588D" w:rsidP="0040087C">
      <w:r>
        <w:separator/>
      </w:r>
    </w:p>
  </w:footnote>
  <w:footnote w:type="continuationSeparator" w:id="0">
    <w:p w:rsidR="00FB588D" w:rsidRDefault="00FB588D" w:rsidP="00400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B1A4D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F4854A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2020A1A"/>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4AC869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2E643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526CCE"/>
    <w:lvl w:ilvl="0">
      <w:start w:val="1"/>
      <w:numFmt w:val="bullet"/>
      <w:lvlText w:val=""/>
      <w:lvlJc w:val="left"/>
      <w:pPr>
        <w:ind w:left="1209" w:hanging="360"/>
      </w:pPr>
      <w:rPr>
        <w:rFonts w:ascii="Symbol" w:hAnsi="Symbol" w:hint="default"/>
      </w:rPr>
    </w:lvl>
  </w:abstractNum>
  <w:abstractNum w:abstractNumId="6">
    <w:nsid w:val="FFFFFF82"/>
    <w:multiLevelType w:val="singleLevel"/>
    <w:tmpl w:val="C980AB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24EF4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multilevel"/>
    <w:tmpl w:val="B8447EE2"/>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390" w:hanging="39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
    <w:nsid w:val="FFFFFF89"/>
    <w:multiLevelType w:val="singleLevel"/>
    <w:tmpl w:val="03F08072"/>
    <w:lvl w:ilvl="0">
      <w:start w:val="1"/>
      <w:numFmt w:val="bullet"/>
      <w:lvlText w:val=""/>
      <w:lvlJc w:val="left"/>
      <w:pPr>
        <w:tabs>
          <w:tab w:val="num" w:pos="360"/>
        </w:tabs>
        <w:ind w:left="360" w:hanging="360"/>
      </w:pPr>
      <w:rPr>
        <w:rFonts w:ascii="Symbol" w:hAnsi="Symbol" w:hint="default"/>
      </w:rPr>
    </w:lvl>
  </w:abstractNum>
  <w:abstractNum w:abstractNumId="10">
    <w:nsid w:val="40776449"/>
    <w:multiLevelType w:val="hybridMultilevel"/>
    <w:tmpl w:val="310E67A2"/>
    <w:lvl w:ilvl="0" w:tplc="85129FCA">
      <w:start w:val="1"/>
      <w:numFmt w:val="decimal"/>
      <w:lvlText w:val="%1."/>
      <w:lvlJc w:val="left"/>
      <w:pPr>
        <w:ind w:left="720" w:hanging="360"/>
      </w:pPr>
      <w:rPr>
        <w:rFonts w:cs="Times New Roman" w:hint="default"/>
      </w:rPr>
    </w:lvl>
    <w:lvl w:ilvl="1" w:tplc="8160E6B0" w:tentative="1">
      <w:start w:val="1"/>
      <w:numFmt w:val="lowerLetter"/>
      <w:lvlText w:val="%2."/>
      <w:lvlJc w:val="left"/>
      <w:pPr>
        <w:ind w:left="1440" w:hanging="360"/>
      </w:pPr>
      <w:rPr>
        <w:rFonts w:cs="Times New Roman"/>
      </w:rPr>
    </w:lvl>
    <w:lvl w:ilvl="2" w:tplc="959CE79A" w:tentative="1">
      <w:start w:val="1"/>
      <w:numFmt w:val="lowerRoman"/>
      <w:lvlText w:val="%3."/>
      <w:lvlJc w:val="right"/>
      <w:pPr>
        <w:ind w:left="2160" w:hanging="180"/>
      </w:pPr>
      <w:rPr>
        <w:rFonts w:cs="Times New Roman"/>
      </w:rPr>
    </w:lvl>
    <w:lvl w:ilvl="3" w:tplc="C464A73E" w:tentative="1">
      <w:start w:val="1"/>
      <w:numFmt w:val="decimal"/>
      <w:lvlText w:val="%4."/>
      <w:lvlJc w:val="left"/>
      <w:pPr>
        <w:ind w:left="2880" w:hanging="360"/>
      </w:pPr>
      <w:rPr>
        <w:rFonts w:cs="Times New Roman"/>
      </w:rPr>
    </w:lvl>
    <w:lvl w:ilvl="4" w:tplc="89169F90" w:tentative="1">
      <w:start w:val="1"/>
      <w:numFmt w:val="lowerLetter"/>
      <w:lvlText w:val="%5."/>
      <w:lvlJc w:val="left"/>
      <w:pPr>
        <w:ind w:left="3600" w:hanging="360"/>
      </w:pPr>
      <w:rPr>
        <w:rFonts w:cs="Times New Roman"/>
      </w:rPr>
    </w:lvl>
    <w:lvl w:ilvl="5" w:tplc="C07AB4CE" w:tentative="1">
      <w:start w:val="1"/>
      <w:numFmt w:val="lowerRoman"/>
      <w:lvlText w:val="%6."/>
      <w:lvlJc w:val="right"/>
      <w:pPr>
        <w:ind w:left="4320" w:hanging="180"/>
      </w:pPr>
      <w:rPr>
        <w:rFonts w:cs="Times New Roman"/>
      </w:rPr>
    </w:lvl>
    <w:lvl w:ilvl="6" w:tplc="B01E0DAE" w:tentative="1">
      <w:start w:val="1"/>
      <w:numFmt w:val="decimal"/>
      <w:lvlText w:val="%7."/>
      <w:lvlJc w:val="left"/>
      <w:pPr>
        <w:ind w:left="5040" w:hanging="360"/>
      </w:pPr>
      <w:rPr>
        <w:rFonts w:cs="Times New Roman"/>
      </w:rPr>
    </w:lvl>
    <w:lvl w:ilvl="7" w:tplc="0FFA4200" w:tentative="1">
      <w:start w:val="1"/>
      <w:numFmt w:val="lowerLetter"/>
      <w:lvlText w:val="%8."/>
      <w:lvlJc w:val="left"/>
      <w:pPr>
        <w:ind w:left="5760" w:hanging="360"/>
      </w:pPr>
      <w:rPr>
        <w:rFonts w:cs="Times New Roman"/>
      </w:rPr>
    </w:lvl>
    <w:lvl w:ilvl="8" w:tplc="530A05CE" w:tentative="1">
      <w:start w:val="1"/>
      <w:numFmt w:val="lowerRoman"/>
      <w:lvlText w:val="%9."/>
      <w:lvlJc w:val="right"/>
      <w:pPr>
        <w:ind w:left="6480" w:hanging="180"/>
      </w:pPr>
      <w:rPr>
        <w:rFonts w:cs="Times New Roman"/>
      </w:rPr>
    </w:lvl>
  </w:abstractNum>
  <w:abstractNum w:abstractNumId="11">
    <w:nsid w:val="570657DC"/>
    <w:multiLevelType w:val="multilevel"/>
    <w:tmpl w:val="78943C08"/>
    <w:lvl w:ilvl="0">
      <w:start w:val="1"/>
      <w:numFmt w:val="decimal"/>
      <w:lvlText w:val="%1."/>
      <w:lvlJc w:val="left"/>
      <w:pPr>
        <w:ind w:left="1080" w:hanging="360"/>
      </w:pPr>
      <w:rPr>
        <w:rFonts w:cs="Times New Roman" w:hint="default"/>
      </w:rPr>
    </w:lvl>
    <w:lvl w:ilvl="1">
      <w:start w:val="3"/>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12">
    <w:nsid w:val="645E2ABC"/>
    <w:multiLevelType w:val="hybridMultilevel"/>
    <w:tmpl w:val="4E822E16"/>
    <w:lvl w:ilvl="0" w:tplc="C2A0FDEC">
      <w:start w:val="1"/>
      <w:numFmt w:val="decimal"/>
      <w:lvlText w:val="%1."/>
      <w:lvlJc w:val="left"/>
      <w:pPr>
        <w:ind w:left="720" w:hanging="360"/>
      </w:pPr>
      <w:rPr>
        <w:rFonts w:cs="Times New Roman" w:hint="default"/>
      </w:rPr>
    </w:lvl>
    <w:lvl w:ilvl="1" w:tplc="F05243BA" w:tentative="1">
      <w:start w:val="1"/>
      <w:numFmt w:val="lowerLetter"/>
      <w:lvlText w:val="%2."/>
      <w:lvlJc w:val="left"/>
      <w:pPr>
        <w:ind w:left="1440" w:hanging="360"/>
      </w:pPr>
      <w:rPr>
        <w:rFonts w:cs="Times New Roman"/>
      </w:rPr>
    </w:lvl>
    <w:lvl w:ilvl="2" w:tplc="A634B372" w:tentative="1">
      <w:start w:val="1"/>
      <w:numFmt w:val="lowerRoman"/>
      <w:lvlText w:val="%3."/>
      <w:lvlJc w:val="right"/>
      <w:pPr>
        <w:ind w:left="2160" w:hanging="180"/>
      </w:pPr>
      <w:rPr>
        <w:rFonts w:cs="Times New Roman"/>
      </w:rPr>
    </w:lvl>
    <w:lvl w:ilvl="3" w:tplc="CF102268" w:tentative="1">
      <w:start w:val="1"/>
      <w:numFmt w:val="decimal"/>
      <w:lvlText w:val="%4."/>
      <w:lvlJc w:val="left"/>
      <w:pPr>
        <w:ind w:left="2880" w:hanging="360"/>
      </w:pPr>
      <w:rPr>
        <w:rFonts w:cs="Times New Roman"/>
      </w:rPr>
    </w:lvl>
    <w:lvl w:ilvl="4" w:tplc="32B81850" w:tentative="1">
      <w:start w:val="1"/>
      <w:numFmt w:val="lowerLetter"/>
      <w:lvlText w:val="%5."/>
      <w:lvlJc w:val="left"/>
      <w:pPr>
        <w:ind w:left="3600" w:hanging="360"/>
      </w:pPr>
      <w:rPr>
        <w:rFonts w:cs="Times New Roman"/>
      </w:rPr>
    </w:lvl>
    <w:lvl w:ilvl="5" w:tplc="34F40260" w:tentative="1">
      <w:start w:val="1"/>
      <w:numFmt w:val="lowerRoman"/>
      <w:lvlText w:val="%6."/>
      <w:lvlJc w:val="right"/>
      <w:pPr>
        <w:ind w:left="4320" w:hanging="180"/>
      </w:pPr>
      <w:rPr>
        <w:rFonts w:cs="Times New Roman"/>
      </w:rPr>
    </w:lvl>
    <w:lvl w:ilvl="6" w:tplc="6F08FE88" w:tentative="1">
      <w:start w:val="1"/>
      <w:numFmt w:val="decimal"/>
      <w:lvlText w:val="%7."/>
      <w:lvlJc w:val="left"/>
      <w:pPr>
        <w:ind w:left="5040" w:hanging="360"/>
      </w:pPr>
      <w:rPr>
        <w:rFonts w:cs="Times New Roman"/>
      </w:rPr>
    </w:lvl>
    <w:lvl w:ilvl="7" w:tplc="55BA54E2" w:tentative="1">
      <w:start w:val="1"/>
      <w:numFmt w:val="lowerLetter"/>
      <w:lvlText w:val="%8."/>
      <w:lvlJc w:val="left"/>
      <w:pPr>
        <w:ind w:left="5760" w:hanging="360"/>
      </w:pPr>
      <w:rPr>
        <w:rFonts w:cs="Times New Roman"/>
      </w:rPr>
    </w:lvl>
    <w:lvl w:ilvl="8" w:tplc="E528BA56" w:tentative="1">
      <w:start w:val="1"/>
      <w:numFmt w:val="lowerRoman"/>
      <w:lvlText w:val="%9."/>
      <w:lvlJc w:val="right"/>
      <w:pPr>
        <w:ind w:left="6480" w:hanging="180"/>
      </w:pPr>
      <w:rPr>
        <w:rFonts w:cs="Times New Roman"/>
      </w:rPr>
    </w:lvl>
  </w:abstractNum>
  <w:abstractNum w:abstractNumId="13">
    <w:nsid w:val="790208A1"/>
    <w:multiLevelType w:val="hybridMultilevel"/>
    <w:tmpl w:val="604CCC1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7"/>
  </w:num>
  <w:num w:numId="4">
    <w:abstractNumId w:val="6"/>
  </w:num>
  <w:num w:numId="5">
    <w:abstractNumId w:val="3"/>
  </w:num>
  <w:num w:numId="6">
    <w:abstractNumId w:val="5"/>
  </w:num>
  <w:num w:numId="7">
    <w:abstractNumId w:val="8"/>
  </w:num>
  <w:num w:numId="8">
    <w:abstractNumId w:val="9"/>
  </w:num>
  <w:num w:numId="9">
    <w:abstractNumId w:val="7"/>
  </w:num>
  <w:num w:numId="10">
    <w:abstractNumId w:val="6"/>
  </w:num>
  <w:num w:numId="11">
    <w:abstractNumId w:val="3"/>
  </w:num>
  <w:num w:numId="12">
    <w:abstractNumId w:val="5"/>
  </w:num>
  <w:num w:numId="13">
    <w:abstractNumId w:val="13"/>
  </w:num>
  <w:num w:numId="14">
    <w:abstractNumId w:val="12"/>
  </w:num>
  <w:num w:numId="15">
    <w:abstractNumId w:val="1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11"/>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9"/>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DC8"/>
    <w:rsid w:val="00007205"/>
    <w:rsid w:val="000151C7"/>
    <w:rsid w:val="000360DC"/>
    <w:rsid w:val="00043F52"/>
    <w:rsid w:val="00060D0E"/>
    <w:rsid w:val="00067B78"/>
    <w:rsid w:val="00082B31"/>
    <w:rsid w:val="000E4438"/>
    <w:rsid w:val="000F061F"/>
    <w:rsid w:val="00112D05"/>
    <w:rsid w:val="00145FBC"/>
    <w:rsid w:val="00147A83"/>
    <w:rsid w:val="00155B69"/>
    <w:rsid w:val="00162480"/>
    <w:rsid w:val="0016320F"/>
    <w:rsid w:val="001E10E4"/>
    <w:rsid w:val="001F4269"/>
    <w:rsid w:val="001F6457"/>
    <w:rsid w:val="00201D00"/>
    <w:rsid w:val="00223669"/>
    <w:rsid w:val="00246FCD"/>
    <w:rsid w:val="00285693"/>
    <w:rsid w:val="00290284"/>
    <w:rsid w:val="002A7567"/>
    <w:rsid w:val="002D043C"/>
    <w:rsid w:val="002D40A7"/>
    <w:rsid w:val="002F33AE"/>
    <w:rsid w:val="003152EB"/>
    <w:rsid w:val="00381626"/>
    <w:rsid w:val="003C63E6"/>
    <w:rsid w:val="003E4EF6"/>
    <w:rsid w:val="0040087C"/>
    <w:rsid w:val="00431BF5"/>
    <w:rsid w:val="004411DF"/>
    <w:rsid w:val="00500AA5"/>
    <w:rsid w:val="00512DA6"/>
    <w:rsid w:val="005244E7"/>
    <w:rsid w:val="005D5C14"/>
    <w:rsid w:val="005F2803"/>
    <w:rsid w:val="006012DB"/>
    <w:rsid w:val="00617825"/>
    <w:rsid w:val="00645909"/>
    <w:rsid w:val="00686899"/>
    <w:rsid w:val="006971B8"/>
    <w:rsid w:val="006A728C"/>
    <w:rsid w:val="00733328"/>
    <w:rsid w:val="007602D5"/>
    <w:rsid w:val="00782F21"/>
    <w:rsid w:val="007E5F8C"/>
    <w:rsid w:val="00823852"/>
    <w:rsid w:val="008432FD"/>
    <w:rsid w:val="00960488"/>
    <w:rsid w:val="00976DC8"/>
    <w:rsid w:val="00990882"/>
    <w:rsid w:val="00991377"/>
    <w:rsid w:val="00A32EF6"/>
    <w:rsid w:val="00A40387"/>
    <w:rsid w:val="00A8117B"/>
    <w:rsid w:val="00AB495F"/>
    <w:rsid w:val="00B12CE8"/>
    <w:rsid w:val="00B25713"/>
    <w:rsid w:val="00B41F0B"/>
    <w:rsid w:val="00B80199"/>
    <w:rsid w:val="00B91090"/>
    <w:rsid w:val="00BD26F7"/>
    <w:rsid w:val="00BE16E3"/>
    <w:rsid w:val="00C45658"/>
    <w:rsid w:val="00C60C6D"/>
    <w:rsid w:val="00CA5F25"/>
    <w:rsid w:val="00D326AB"/>
    <w:rsid w:val="00D5520E"/>
    <w:rsid w:val="00D611DF"/>
    <w:rsid w:val="00DA3203"/>
    <w:rsid w:val="00DC4881"/>
    <w:rsid w:val="00E0580B"/>
    <w:rsid w:val="00E3276E"/>
    <w:rsid w:val="00E361D6"/>
    <w:rsid w:val="00E44ADF"/>
    <w:rsid w:val="00E508D4"/>
    <w:rsid w:val="00E85853"/>
    <w:rsid w:val="00EA76D5"/>
    <w:rsid w:val="00EB035A"/>
    <w:rsid w:val="00EC38C9"/>
    <w:rsid w:val="00EC428B"/>
    <w:rsid w:val="00F01F47"/>
    <w:rsid w:val="00F102C9"/>
    <w:rsid w:val="00F36612"/>
    <w:rsid w:val="00F53537"/>
    <w:rsid w:val="00F86AAC"/>
    <w:rsid w:val="00FB588D"/>
    <w:rsid w:val="00FE3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803"/>
    <w:rPr>
      <w:rFonts w:ascii="Calibri" w:hAnsi="Calibri"/>
      <w:sz w:val="23"/>
      <w:szCs w:val="24"/>
    </w:rPr>
  </w:style>
  <w:style w:type="paragraph" w:styleId="Heading1">
    <w:name w:val="heading 1"/>
    <w:basedOn w:val="Normal"/>
    <w:next w:val="Normal"/>
    <w:link w:val="Heading1Char"/>
    <w:uiPriority w:val="99"/>
    <w:qFormat/>
    <w:rsid w:val="005244E7"/>
    <w:pPr>
      <w:keepNext/>
      <w:spacing w:before="240" w:after="60"/>
      <w:outlineLvl w:val="0"/>
    </w:pPr>
    <w:rPr>
      <w:rFonts w:ascii="Segoe UI" w:hAnsi="Segoe UI" w:cs="Arial"/>
      <w:b/>
      <w:bCs/>
      <w:spacing w:val="8"/>
      <w:kern w:val="32"/>
      <w:sz w:val="32"/>
      <w:szCs w:val="32"/>
    </w:rPr>
  </w:style>
  <w:style w:type="paragraph" w:styleId="Heading2">
    <w:name w:val="heading 2"/>
    <w:basedOn w:val="Normal"/>
    <w:next w:val="Normal"/>
    <w:link w:val="Heading2Char"/>
    <w:uiPriority w:val="99"/>
    <w:qFormat/>
    <w:rsid w:val="00960488"/>
    <w:pPr>
      <w:keepNext/>
      <w:spacing w:before="240" w:after="60"/>
      <w:outlineLvl w:val="1"/>
    </w:pPr>
    <w:rPr>
      <w:rFonts w:ascii="Segoe UI" w:hAnsi="Segoe UI" w:cs="Arial"/>
      <w:b/>
      <w:bCs/>
      <w:iCs/>
      <w:spacing w:val="8"/>
      <w:sz w:val="28"/>
      <w:szCs w:val="28"/>
    </w:rPr>
  </w:style>
  <w:style w:type="paragraph" w:styleId="Heading3">
    <w:name w:val="heading 3"/>
    <w:basedOn w:val="Normal"/>
    <w:next w:val="Normal"/>
    <w:link w:val="Heading3Char"/>
    <w:uiPriority w:val="99"/>
    <w:qFormat/>
    <w:rsid w:val="00782F21"/>
    <w:pPr>
      <w:keepNext/>
      <w:spacing w:before="240" w:after="60"/>
      <w:outlineLvl w:val="2"/>
    </w:pPr>
    <w:rPr>
      <w:rFonts w:ascii="Segoe UI" w:hAnsi="Segoe UI"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41C38"/>
    <w:rPr>
      <w:rFonts w:ascii="Cambria" w:eastAsia="Times New Roman" w:hAnsi="Cambria" w:cs="Times New Roman"/>
      <w:b/>
      <w:bCs/>
      <w:kern w:val="32"/>
      <w:sz w:val="32"/>
      <w:szCs w:val="32"/>
    </w:rPr>
  </w:style>
  <w:style w:type="character" w:customStyle="1" w:styleId="Heading2Char">
    <w:name w:val="Heading 2 Char"/>
    <w:link w:val="Heading2"/>
    <w:uiPriority w:val="99"/>
    <w:rsid w:val="00960488"/>
    <w:rPr>
      <w:rFonts w:ascii="Segoe UI" w:hAnsi="Segoe UI" w:cs="Arial"/>
      <w:b/>
      <w:bCs/>
      <w:iCs/>
      <w:spacing w:val="8"/>
      <w:sz w:val="28"/>
      <w:szCs w:val="28"/>
    </w:rPr>
  </w:style>
  <w:style w:type="character" w:customStyle="1" w:styleId="Heading3Char">
    <w:name w:val="Heading 3 Char"/>
    <w:link w:val="Heading3"/>
    <w:uiPriority w:val="9"/>
    <w:semiHidden/>
    <w:rsid w:val="00B41C38"/>
    <w:rPr>
      <w:rFonts w:ascii="Cambria" w:eastAsia="Times New Roman" w:hAnsi="Cambria" w:cs="Times New Roman"/>
      <w:b/>
      <w:bCs/>
      <w:sz w:val="26"/>
      <w:szCs w:val="26"/>
    </w:rPr>
  </w:style>
  <w:style w:type="paragraph" w:styleId="FootnoteText">
    <w:name w:val="footnote text"/>
    <w:basedOn w:val="Normal"/>
    <w:link w:val="FootnoteTextChar"/>
    <w:uiPriority w:val="99"/>
    <w:semiHidden/>
    <w:rsid w:val="00162480"/>
    <w:pPr>
      <w:ind w:left="397" w:right="113" w:hanging="284"/>
    </w:pPr>
    <w:rPr>
      <w:sz w:val="18"/>
      <w:szCs w:val="20"/>
    </w:rPr>
  </w:style>
  <w:style w:type="character" w:customStyle="1" w:styleId="FootnoteTextChar">
    <w:name w:val="Footnote Text Char"/>
    <w:link w:val="FootnoteText"/>
    <w:uiPriority w:val="99"/>
    <w:semiHidden/>
    <w:rsid w:val="00B41C38"/>
    <w:rPr>
      <w:rFonts w:ascii="Calibri" w:hAnsi="Calibri"/>
      <w:sz w:val="20"/>
      <w:szCs w:val="20"/>
    </w:rPr>
  </w:style>
  <w:style w:type="paragraph" w:styleId="ListParagraph">
    <w:name w:val="List Paragraph"/>
    <w:basedOn w:val="Normal"/>
    <w:uiPriority w:val="99"/>
    <w:qFormat/>
    <w:rsid w:val="005244E7"/>
    <w:pPr>
      <w:ind w:left="720"/>
      <w:contextualSpacing/>
    </w:pPr>
  </w:style>
  <w:style w:type="table" w:styleId="TableGrid">
    <w:name w:val="Table Grid"/>
    <w:basedOn w:val="TableNormal"/>
    <w:uiPriority w:val="99"/>
    <w:rsid w:val="00EC38C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
    <w:name w:val="List Number"/>
    <w:basedOn w:val="Normal"/>
    <w:uiPriority w:val="99"/>
    <w:rsid w:val="005F2803"/>
    <w:pPr>
      <w:tabs>
        <w:tab w:val="num" w:pos="360"/>
      </w:tabs>
      <w:ind w:left="360" w:hanging="360"/>
      <w:contextualSpacing/>
    </w:pPr>
  </w:style>
  <w:style w:type="paragraph" w:styleId="ListBullet">
    <w:name w:val="List Bullet"/>
    <w:basedOn w:val="Normal"/>
    <w:uiPriority w:val="99"/>
    <w:rsid w:val="00E361D6"/>
    <w:pPr>
      <w:tabs>
        <w:tab w:val="num" w:pos="360"/>
      </w:tabs>
      <w:ind w:left="360" w:hanging="360"/>
      <w:contextualSpacing/>
    </w:pPr>
  </w:style>
  <w:style w:type="paragraph" w:styleId="ListBullet2">
    <w:name w:val="List Bullet 2"/>
    <w:basedOn w:val="Normal"/>
    <w:uiPriority w:val="99"/>
    <w:rsid w:val="00E361D6"/>
    <w:pPr>
      <w:tabs>
        <w:tab w:val="num" w:pos="643"/>
      </w:tabs>
      <w:ind w:left="643" w:hanging="360"/>
      <w:contextualSpacing/>
    </w:pPr>
  </w:style>
  <w:style w:type="paragraph" w:styleId="ListBullet3">
    <w:name w:val="List Bullet 3"/>
    <w:basedOn w:val="Normal"/>
    <w:uiPriority w:val="99"/>
    <w:rsid w:val="00E361D6"/>
    <w:pPr>
      <w:tabs>
        <w:tab w:val="num" w:pos="926"/>
      </w:tabs>
      <w:ind w:left="926" w:hanging="360"/>
      <w:contextualSpacing/>
    </w:pPr>
    <w:rPr>
      <w:sz w:val="22"/>
    </w:rPr>
  </w:style>
  <w:style w:type="paragraph" w:styleId="BodyText">
    <w:name w:val="Body Text"/>
    <w:basedOn w:val="Normal"/>
    <w:link w:val="BodyTextChar"/>
    <w:uiPriority w:val="99"/>
    <w:rsid w:val="00C45658"/>
    <w:pPr>
      <w:spacing w:before="60" w:after="60" w:line="264" w:lineRule="auto"/>
    </w:pPr>
    <w:rPr>
      <w:sz w:val="22"/>
    </w:rPr>
  </w:style>
  <w:style w:type="character" w:customStyle="1" w:styleId="BodyTextChar">
    <w:name w:val="Body Text Char"/>
    <w:link w:val="BodyText"/>
    <w:uiPriority w:val="99"/>
    <w:locked/>
    <w:rsid w:val="00C45658"/>
    <w:rPr>
      <w:rFonts w:ascii="Calibri" w:hAnsi="Calibri" w:cs="Times New Roman"/>
      <w:sz w:val="24"/>
      <w:szCs w:val="24"/>
    </w:rPr>
  </w:style>
  <w:style w:type="paragraph" w:styleId="ListNumber2">
    <w:name w:val="List Number 2"/>
    <w:basedOn w:val="Normal"/>
    <w:uiPriority w:val="99"/>
    <w:rsid w:val="001F4269"/>
    <w:pPr>
      <w:contextualSpacing/>
    </w:pPr>
  </w:style>
  <w:style w:type="paragraph" w:styleId="ListBullet4">
    <w:name w:val="List Bullet 4"/>
    <w:basedOn w:val="Normal"/>
    <w:uiPriority w:val="99"/>
    <w:rsid w:val="00BD26F7"/>
    <w:pPr>
      <w:tabs>
        <w:tab w:val="left" w:pos="1361"/>
      </w:tabs>
      <w:ind w:left="1361" w:hanging="340"/>
      <w:contextualSpacing/>
    </w:pPr>
    <w:rPr>
      <w:sz w:val="22"/>
    </w:rPr>
  </w:style>
  <w:style w:type="paragraph" w:styleId="DocumentMap">
    <w:name w:val="Document Map"/>
    <w:basedOn w:val="Normal"/>
    <w:link w:val="DocumentMapChar"/>
    <w:uiPriority w:val="99"/>
    <w:semiHidden/>
    <w:rsid w:val="00DA3203"/>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B41C38"/>
    <w:rPr>
      <w:sz w:val="0"/>
      <w:szCs w:val="0"/>
    </w:rPr>
  </w:style>
  <w:style w:type="character" w:styleId="CommentReference">
    <w:name w:val="annotation reference"/>
    <w:uiPriority w:val="99"/>
    <w:semiHidden/>
    <w:rsid w:val="00381626"/>
    <w:rPr>
      <w:rFonts w:cs="Times New Roman"/>
      <w:sz w:val="16"/>
      <w:szCs w:val="16"/>
    </w:rPr>
  </w:style>
  <w:style w:type="paragraph" w:styleId="CommentText">
    <w:name w:val="annotation text"/>
    <w:basedOn w:val="Normal"/>
    <w:link w:val="CommentTextChar"/>
    <w:uiPriority w:val="99"/>
    <w:semiHidden/>
    <w:rsid w:val="00381626"/>
    <w:rPr>
      <w:sz w:val="20"/>
      <w:szCs w:val="20"/>
    </w:rPr>
  </w:style>
  <w:style w:type="character" w:customStyle="1" w:styleId="CommentTextChar">
    <w:name w:val="Comment Text Char"/>
    <w:link w:val="CommentText"/>
    <w:uiPriority w:val="99"/>
    <w:semiHidden/>
    <w:rsid w:val="00B41C38"/>
    <w:rPr>
      <w:rFonts w:ascii="Calibri" w:hAnsi="Calibri"/>
      <w:sz w:val="20"/>
      <w:szCs w:val="20"/>
    </w:rPr>
  </w:style>
  <w:style w:type="paragraph" w:styleId="CommentSubject">
    <w:name w:val="annotation subject"/>
    <w:basedOn w:val="CommentText"/>
    <w:next w:val="CommentText"/>
    <w:link w:val="CommentSubjectChar"/>
    <w:uiPriority w:val="99"/>
    <w:semiHidden/>
    <w:rsid w:val="00381626"/>
    <w:rPr>
      <w:b/>
      <w:bCs/>
    </w:rPr>
  </w:style>
  <w:style w:type="character" w:customStyle="1" w:styleId="CommentSubjectChar">
    <w:name w:val="Comment Subject Char"/>
    <w:link w:val="CommentSubject"/>
    <w:uiPriority w:val="99"/>
    <w:semiHidden/>
    <w:rsid w:val="00B41C38"/>
    <w:rPr>
      <w:rFonts w:ascii="Calibri" w:hAnsi="Calibri"/>
      <w:b/>
      <w:bCs/>
      <w:sz w:val="20"/>
      <w:szCs w:val="20"/>
    </w:rPr>
  </w:style>
  <w:style w:type="paragraph" w:styleId="BalloonText">
    <w:name w:val="Balloon Text"/>
    <w:basedOn w:val="Normal"/>
    <w:link w:val="BalloonTextChar"/>
    <w:uiPriority w:val="99"/>
    <w:semiHidden/>
    <w:rsid w:val="00381626"/>
    <w:rPr>
      <w:rFonts w:ascii="Tahoma" w:hAnsi="Tahoma" w:cs="Tahoma"/>
      <w:sz w:val="16"/>
      <w:szCs w:val="16"/>
    </w:rPr>
  </w:style>
  <w:style w:type="character" w:customStyle="1" w:styleId="BalloonTextChar">
    <w:name w:val="Balloon Text Char"/>
    <w:link w:val="BalloonText"/>
    <w:uiPriority w:val="99"/>
    <w:semiHidden/>
    <w:rsid w:val="00B41C38"/>
    <w:rPr>
      <w:sz w:val="0"/>
      <w:szCs w:val="0"/>
    </w:rPr>
  </w:style>
  <w:style w:type="paragraph" w:styleId="ListNumber3">
    <w:name w:val="List Number 3"/>
    <w:basedOn w:val="Normal"/>
    <w:uiPriority w:val="99"/>
    <w:unhideWhenUsed/>
    <w:rsid w:val="00FE3B16"/>
    <w:pPr>
      <w:numPr>
        <w:numId w:val="23"/>
      </w:numPr>
      <w:ind w:left="1248" w:hanging="284"/>
      <w:contextualSpacing/>
    </w:pPr>
    <w:rPr>
      <w:sz w:val="22"/>
    </w:rPr>
  </w:style>
  <w:style w:type="paragraph" w:styleId="Header">
    <w:name w:val="header"/>
    <w:basedOn w:val="Normal"/>
    <w:link w:val="HeaderChar"/>
    <w:uiPriority w:val="99"/>
    <w:unhideWhenUsed/>
    <w:rsid w:val="0040087C"/>
    <w:pPr>
      <w:tabs>
        <w:tab w:val="center" w:pos="4513"/>
        <w:tab w:val="right" w:pos="9026"/>
      </w:tabs>
    </w:pPr>
  </w:style>
  <w:style w:type="character" w:customStyle="1" w:styleId="HeaderChar">
    <w:name w:val="Header Char"/>
    <w:link w:val="Header"/>
    <w:uiPriority w:val="99"/>
    <w:rsid w:val="0040087C"/>
    <w:rPr>
      <w:rFonts w:ascii="Calibri" w:hAnsi="Calibri"/>
      <w:sz w:val="23"/>
      <w:szCs w:val="24"/>
    </w:rPr>
  </w:style>
  <w:style w:type="paragraph" w:styleId="Footer">
    <w:name w:val="footer"/>
    <w:basedOn w:val="Normal"/>
    <w:link w:val="FooterChar"/>
    <w:uiPriority w:val="99"/>
    <w:unhideWhenUsed/>
    <w:rsid w:val="00431BF5"/>
    <w:pPr>
      <w:tabs>
        <w:tab w:val="center" w:pos="4513"/>
        <w:tab w:val="right" w:pos="9026"/>
      </w:tabs>
    </w:pPr>
    <w:rPr>
      <w:sz w:val="20"/>
    </w:rPr>
  </w:style>
  <w:style w:type="character" w:customStyle="1" w:styleId="FooterChar">
    <w:name w:val="Footer Char"/>
    <w:link w:val="Footer"/>
    <w:uiPriority w:val="99"/>
    <w:rsid w:val="00431BF5"/>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803"/>
    <w:rPr>
      <w:rFonts w:ascii="Calibri" w:hAnsi="Calibri"/>
      <w:sz w:val="23"/>
      <w:szCs w:val="24"/>
    </w:rPr>
  </w:style>
  <w:style w:type="paragraph" w:styleId="Heading1">
    <w:name w:val="heading 1"/>
    <w:basedOn w:val="Normal"/>
    <w:next w:val="Normal"/>
    <w:link w:val="Heading1Char"/>
    <w:uiPriority w:val="99"/>
    <w:qFormat/>
    <w:rsid w:val="005244E7"/>
    <w:pPr>
      <w:keepNext/>
      <w:spacing w:before="240" w:after="60"/>
      <w:outlineLvl w:val="0"/>
    </w:pPr>
    <w:rPr>
      <w:rFonts w:ascii="Segoe UI" w:hAnsi="Segoe UI" w:cs="Arial"/>
      <w:b/>
      <w:bCs/>
      <w:spacing w:val="8"/>
      <w:kern w:val="32"/>
      <w:sz w:val="32"/>
      <w:szCs w:val="32"/>
    </w:rPr>
  </w:style>
  <w:style w:type="paragraph" w:styleId="Heading2">
    <w:name w:val="heading 2"/>
    <w:basedOn w:val="Normal"/>
    <w:next w:val="Normal"/>
    <w:link w:val="Heading2Char"/>
    <w:uiPriority w:val="99"/>
    <w:qFormat/>
    <w:rsid w:val="00960488"/>
    <w:pPr>
      <w:keepNext/>
      <w:spacing w:before="240" w:after="60"/>
      <w:outlineLvl w:val="1"/>
    </w:pPr>
    <w:rPr>
      <w:rFonts w:ascii="Segoe UI" w:hAnsi="Segoe UI" w:cs="Arial"/>
      <w:b/>
      <w:bCs/>
      <w:iCs/>
      <w:spacing w:val="8"/>
      <w:sz w:val="28"/>
      <w:szCs w:val="28"/>
    </w:rPr>
  </w:style>
  <w:style w:type="paragraph" w:styleId="Heading3">
    <w:name w:val="heading 3"/>
    <w:basedOn w:val="Normal"/>
    <w:next w:val="Normal"/>
    <w:link w:val="Heading3Char"/>
    <w:uiPriority w:val="99"/>
    <w:qFormat/>
    <w:rsid w:val="00782F21"/>
    <w:pPr>
      <w:keepNext/>
      <w:spacing w:before="240" w:after="60"/>
      <w:outlineLvl w:val="2"/>
    </w:pPr>
    <w:rPr>
      <w:rFonts w:ascii="Segoe UI" w:hAnsi="Segoe UI"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41C38"/>
    <w:rPr>
      <w:rFonts w:ascii="Cambria" w:eastAsia="Times New Roman" w:hAnsi="Cambria" w:cs="Times New Roman"/>
      <w:b/>
      <w:bCs/>
      <w:kern w:val="32"/>
      <w:sz w:val="32"/>
      <w:szCs w:val="32"/>
    </w:rPr>
  </w:style>
  <w:style w:type="character" w:customStyle="1" w:styleId="Heading2Char">
    <w:name w:val="Heading 2 Char"/>
    <w:link w:val="Heading2"/>
    <w:uiPriority w:val="99"/>
    <w:rsid w:val="00960488"/>
    <w:rPr>
      <w:rFonts w:ascii="Segoe UI" w:hAnsi="Segoe UI" w:cs="Arial"/>
      <w:b/>
      <w:bCs/>
      <w:iCs/>
      <w:spacing w:val="8"/>
      <w:sz w:val="28"/>
      <w:szCs w:val="28"/>
    </w:rPr>
  </w:style>
  <w:style w:type="character" w:customStyle="1" w:styleId="Heading3Char">
    <w:name w:val="Heading 3 Char"/>
    <w:link w:val="Heading3"/>
    <w:uiPriority w:val="9"/>
    <w:semiHidden/>
    <w:rsid w:val="00B41C38"/>
    <w:rPr>
      <w:rFonts w:ascii="Cambria" w:eastAsia="Times New Roman" w:hAnsi="Cambria" w:cs="Times New Roman"/>
      <w:b/>
      <w:bCs/>
      <w:sz w:val="26"/>
      <w:szCs w:val="26"/>
    </w:rPr>
  </w:style>
  <w:style w:type="paragraph" w:styleId="FootnoteText">
    <w:name w:val="footnote text"/>
    <w:basedOn w:val="Normal"/>
    <w:link w:val="FootnoteTextChar"/>
    <w:uiPriority w:val="99"/>
    <w:semiHidden/>
    <w:rsid w:val="00162480"/>
    <w:pPr>
      <w:ind w:left="397" w:right="113" w:hanging="284"/>
    </w:pPr>
    <w:rPr>
      <w:sz w:val="18"/>
      <w:szCs w:val="20"/>
    </w:rPr>
  </w:style>
  <w:style w:type="character" w:customStyle="1" w:styleId="FootnoteTextChar">
    <w:name w:val="Footnote Text Char"/>
    <w:link w:val="FootnoteText"/>
    <w:uiPriority w:val="99"/>
    <w:semiHidden/>
    <w:rsid w:val="00B41C38"/>
    <w:rPr>
      <w:rFonts w:ascii="Calibri" w:hAnsi="Calibri"/>
      <w:sz w:val="20"/>
      <w:szCs w:val="20"/>
    </w:rPr>
  </w:style>
  <w:style w:type="paragraph" w:styleId="ListParagraph">
    <w:name w:val="List Paragraph"/>
    <w:basedOn w:val="Normal"/>
    <w:uiPriority w:val="99"/>
    <w:qFormat/>
    <w:rsid w:val="005244E7"/>
    <w:pPr>
      <w:ind w:left="720"/>
      <w:contextualSpacing/>
    </w:pPr>
  </w:style>
  <w:style w:type="table" w:styleId="TableGrid">
    <w:name w:val="Table Grid"/>
    <w:basedOn w:val="TableNormal"/>
    <w:uiPriority w:val="99"/>
    <w:rsid w:val="00EC38C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
    <w:name w:val="List Number"/>
    <w:basedOn w:val="Normal"/>
    <w:uiPriority w:val="99"/>
    <w:rsid w:val="005F2803"/>
    <w:pPr>
      <w:tabs>
        <w:tab w:val="num" w:pos="360"/>
      </w:tabs>
      <w:ind w:left="360" w:hanging="360"/>
      <w:contextualSpacing/>
    </w:pPr>
  </w:style>
  <w:style w:type="paragraph" w:styleId="ListBullet">
    <w:name w:val="List Bullet"/>
    <w:basedOn w:val="Normal"/>
    <w:uiPriority w:val="99"/>
    <w:rsid w:val="00E361D6"/>
    <w:pPr>
      <w:tabs>
        <w:tab w:val="num" w:pos="360"/>
      </w:tabs>
      <w:ind w:left="360" w:hanging="360"/>
      <w:contextualSpacing/>
    </w:pPr>
  </w:style>
  <w:style w:type="paragraph" w:styleId="ListBullet2">
    <w:name w:val="List Bullet 2"/>
    <w:basedOn w:val="Normal"/>
    <w:uiPriority w:val="99"/>
    <w:rsid w:val="00E361D6"/>
    <w:pPr>
      <w:tabs>
        <w:tab w:val="num" w:pos="643"/>
      </w:tabs>
      <w:ind w:left="643" w:hanging="360"/>
      <w:contextualSpacing/>
    </w:pPr>
  </w:style>
  <w:style w:type="paragraph" w:styleId="ListBullet3">
    <w:name w:val="List Bullet 3"/>
    <w:basedOn w:val="Normal"/>
    <w:uiPriority w:val="99"/>
    <w:rsid w:val="00E361D6"/>
    <w:pPr>
      <w:tabs>
        <w:tab w:val="num" w:pos="926"/>
      </w:tabs>
      <w:ind w:left="926" w:hanging="360"/>
      <w:contextualSpacing/>
    </w:pPr>
    <w:rPr>
      <w:sz w:val="22"/>
    </w:rPr>
  </w:style>
  <w:style w:type="paragraph" w:styleId="BodyText">
    <w:name w:val="Body Text"/>
    <w:basedOn w:val="Normal"/>
    <w:link w:val="BodyTextChar"/>
    <w:uiPriority w:val="99"/>
    <w:rsid w:val="00C45658"/>
    <w:pPr>
      <w:spacing w:before="60" w:after="60" w:line="264" w:lineRule="auto"/>
    </w:pPr>
    <w:rPr>
      <w:sz w:val="22"/>
    </w:rPr>
  </w:style>
  <w:style w:type="character" w:customStyle="1" w:styleId="BodyTextChar">
    <w:name w:val="Body Text Char"/>
    <w:link w:val="BodyText"/>
    <w:uiPriority w:val="99"/>
    <w:locked/>
    <w:rsid w:val="00C45658"/>
    <w:rPr>
      <w:rFonts w:ascii="Calibri" w:hAnsi="Calibri" w:cs="Times New Roman"/>
      <w:sz w:val="24"/>
      <w:szCs w:val="24"/>
    </w:rPr>
  </w:style>
  <w:style w:type="paragraph" w:styleId="ListNumber2">
    <w:name w:val="List Number 2"/>
    <w:basedOn w:val="Normal"/>
    <w:uiPriority w:val="99"/>
    <w:rsid w:val="001F4269"/>
    <w:pPr>
      <w:contextualSpacing/>
    </w:pPr>
  </w:style>
  <w:style w:type="paragraph" w:styleId="ListBullet4">
    <w:name w:val="List Bullet 4"/>
    <w:basedOn w:val="Normal"/>
    <w:uiPriority w:val="99"/>
    <w:rsid w:val="00BD26F7"/>
    <w:pPr>
      <w:tabs>
        <w:tab w:val="left" w:pos="1361"/>
      </w:tabs>
      <w:ind w:left="1361" w:hanging="340"/>
      <w:contextualSpacing/>
    </w:pPr>
    <w:rPr>
      <w:sz w:val="22"/>
    </w:rPr>
  </w:style>
  <w:style w:type="paragraph" w:styleId="DocumentMap">
    <w:name w:val="Document Map"/>
    <w:basedOn w:val="Normal"/>
    <w:link w:val="DocumentMapChar"/>
    <w:uiPriority w:val="99"/>
    <w:semiHidden/>
    <w:rsid w:val="00DA3203"/>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B41C38"/>
    <w:rPr>
      <w:sz w:val="0"/>
      <w:szCs w:val="0"/>
    </w:rPr>
  </w:style>
  <w:style w:type="character" w:styleId="CommentReference">
    <w:name w:val="annotation reference"/>
    <w:uiPriority w:val="99"/>
    <w:semiHidden/>
    <w:rsid w:val="00381626"/>
    <w:rPr>
      <w:rFonts w:cs="Times New Roman"/>
      <w:sz w:val="16"/>
      <w:szCs w:val="16"/>
    </w:rPr>
  </w:style>
  <w:style w:type="paragraph" w:styleId="CommentText">
    <w:name w:val="annotation text"/>
    <w:basedOn w:val="Normal"/>
    <w:link w:val="CommentTextChar"/>
    <w:uiPriority w:val="99"/>
    <w:semiHidden/>
    <w:rsid w:val="00381626"/>
    <w:rPr>
      <w:sz w:val="20"/>
      <w:szCs w:val="20"/>
    </w:rPr>
  </w:style>
  <w:style w:type="character" w:customStyle="1" w:styleId="CommentTextChar">
    <w:name w:val="Comment Text Char"/>
    <w:link w:val="CommentText"/>
    <w:uiPriority w:val="99"/>
    <w:semiHidden/>
    <w:rsid w:val="00B41C38"/>
    <w:rPr>
      <w:rFonts w:ascii="Calibri" w:hAnsi="Calibri"/>
      <w:sz w:val="20"/>
      <w:szCs w:val="20"/>
    </w:rPr>
  </w:style>
  <w:style w:type="paragraph" w:styleId="CommentSubject">
    <w:name w:val="annotation subject"/>
    <w:basedOn w:val="CommentText"/>
    <w:next w:val="CommentText"/>
    <w:link w:val="CommentSubjectChar"/>
    <w:uiPriority w:val="99"/>
    <w:semiHidden/>
    <w:rsid w:val="00381626"/>
    <w:rPr>
      <w:b/>
      <w:bCs/>
    </w:rPr>
  </w:style>
  <w:style w:type="character" w:customStyle="1" w:styleId="CommentSubjectChar">
    <w:name w:val="Comment Subject Char"/>
    <w:link w:val="CommentSubject"/>
    <w:uiPriority w:val="99"/>
    <w:semiHidden/>
    <w:rsid w:val="00B41C38"/>
    <w:rPr>
      <w:rFonts w:ascii="Calibri" w:hAnsi="Calibri"/>
      <w:b/>
      <w:bCs/>
      <w:sz w:val="20"/>
      <w:szCs w:val="20"/>
    </w:rPr>
  </w:style>
  <w:style w:type="paragraph" w:styleId="BalloonText">
    <w:name w:val="Balloon Text"/>
    <w:basedOn w:val="Normal"/>
    <w:link w:val="BalloonTextChar"/>
    <w:uiPriority w:val="99"/>
    <w:semiHidden/>
    <w:rsid w:val="00381626"/>
    <w:rPr>
      <w:rFonts w:ascii="Tahoma" w:hAnsi="Tahoma" w:cs="Tahoma"/>
      <w:sz w:val="16"/>
      <w:szCs w:val="16"/>
    </w:rPr>
  </w:style>
  <w:style w:type="character" w:customStyle="1" w:styleId="BalloonTextChar">
    <w:name w:val="Balloon Text Char"/>
    <w:link w:val="BalloonText"/>
    <w:uiPriority w:val="99"/>
    <w:semiHidden/>
    <w:rsid w:val="00B41C38"/>
    <w:rPr>
      <w:sz w:val="0"/>
      <w:szCs w:val="0"/>
    </w:rPr>
  </w:style>
  <w:style w:type="paragraph" w:styleId="ListNumber3">
    <w:name w:val="List Number 3"/>
    <w:basedOn w:val="Normal"/>
    <w:uiPriority w:val="99"/>
    <w:unhideWhenUsed/>
    <w:rsid w:val="00FE3B16"/>
    <w:pPr>
      <w:numPr>
        <w:numId w:val="23"/>
      </w:numPr>
      <w:ind w:left="1248" w:hanging="284"/>
      <w:contextualSpacing/>
    </w:pPr>
    <w:rPr>
      <w:sz w:val="22"/>
    </w:rPr>
  </w:style>
  <w:style w:type="paragraph" w:styleId="Header">
    <w:name w:val="header"/>
    <w:basedOn w:val="Normal"/>
    <w:link w:val="HeaderChar"/>
    <w:uiPriority w:val="99"/>
    <w:unhideWhenUsed/>
    <w:rsid w:val="0040087C"/>
    <w:pPr>
      <w:tabs>
        <w:tab w:val="center" w:pos="4513"/>
        <w:tab w:val="right" w:pos="9026"/>
      </w:tabs>
    </w:pPr>
  </w:style>
  <w:style w:type="character" w:customStyle="1" w:styleId="HeaderChar">
    <w:name w:val="Header Char"/>
    <w:link w:val="Header"/>
    <w:uiPriority w:val="99"/>
    <w:rsid w:val="0040087C"/>
    <w:rPr>
      <w:rFonts w:ascii="Calibri" w:hAnsi="Calibri"/>
      <w:sz w:val="23"/>
      <w:szCs w:val="24"/>
    </w:rPr>
  </w:style>
  <w:style w:type="paragraph" w:styleId="Footer">
    <w:name w:val="footer"/>
    <w:basedOn w:val="Normal"/>
    <w:link w:val="FooterChar"/>
    <w:uiPriority w:val="99"/>
    <w:unhideWhenUsed/>
    <w:rsid w:val="00431BF5"/>
    <w:pPr>
      <w:tabs>
        <w:tab w:val="center" w:pos="4513"/>
        <w:tab w:val="right" w:pos="9026"/>
      </w:tabs>
    </w:pPr>
    <w:rPr>
      <w:sz w:val="20"/>
    </w:rPr>
  </w:style>
  <w:style w:type="character" w:customStyle="1" w:styleId="FooterChar">
    <w:name w:val="Footer Char"/>
    <w:link w:val="Footer"/>
    <w:uiPriority w:val="99"/>
    <w:rsid w:val="00431BF5"/>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20810">
      <w:bodyDiv w:val="1"/>
      <w:marLeft w:val="0"/>
      <w:marRight w:val="0"/>
      <w:marTop w:val="0"/>
      <w:marBottom w:val="0"/>
      <w:divBdr>
        <w:top w:val="none" w:sz="0" w:space="0" w:color="auto"/>
        <w:left w:val="none" w:sz="0" w:space="0" w:color="auto"/>
        <w:bottom w:val="none" w:sz="0" w:space="0" w:color="auto"/>
        <w:right w:val="none" w:sz="0" w:space="0" w:color="auto"/>
      </w:divBdr>
    </w:div>
    <w:div w:id="930357447">
      <w:bodyDiv w:val="1"/>
      <w:marLeft w:val="0"/>
      <w:marRight w:val="0"/>
      <w:marTop w:val="0"/>
      <w:marBottom w:val="0"/>
      <w:divBdr>
        <w:top w:val="none" w:sz="0" w:space="0" w:color="auto"/>
        <w:left w:val="none" w:sz="0" w:space="0" w:color="auto"/>
        <w:bottom w:val="none" w:sz="0" w:space="0" w:color="auto"/>
        <w:right w:val="none" w:sz="0" w:space="0" w:color="auto"/>
      </w:divBdr>
    </w:div>
    <w:div w:id="144828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D8D8E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8DB8F-E7A3-4837-96E6-A9F0BDA0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1717</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Microgeneration Government-Industry Contact Group</vt:lpstr>
    </vt:vector>
  </TitlesOfParts>
  <Company>Energy Saving Trust</Company>
  <LinksUpToDate>false</LinksUpToDate>
  <CharactersWithSpaces>10742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Microgeneration Government-Industry Contact Group</dc:title>
  <dc:subject/>
  <dc:creator>Mathias Hessler</dc:creator>
  <cp:keywords/>
  <dc:description/>
  <cp:lastModifiedBy>Mathias Hessler</cp:lastModifiedBy>
  <cp:revision>3</cp:revision>
  <dcterms:created xsi:type="dcterms:W3CDTF">2011-04-27T10:01:00Z</dcterms:created>
  <dcterms:modified xsi:type="dcterms:W3CDTF">2011-06-20T09:41:00Z</dcterms:modified>
</cp:coreProperties>
</file>